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/>
          <w:b/>
          <w:color w:val="1F4E78"/>
          <w:sz w:val="44"/>
        </w:rPr>
        <w:t>阶段 3：六种单模态 Baseline 方案库</w:t>
      </w:r>
    </w:p>
    <w:p>
      <w:pPr>
        <w:jc w:val="center"/>
      </w:pPr>
      <w:r>
        <w:rPr>
          <w:rFonts w:ascii="Noto Sans CJK SC" w:hAnsi="Noto Sans CJK SC"/>
          <w:color w:val="666666"/>
          <w:sz w:val="22"/>
        </w:rPr>
        <w:t>目标：基于 manifest.csv 与 fold_0.json，为六种模态建立可收敛、可比较、可输出验证预测的稳定基线</w:t>
      </w:r>
    </w:p>
    <w:p>
      <w:pPr>
        <w:jc w:val="center"/>
      </w:pPr>
      <w:r>
        <w:rPr>
          <w:rFonts w:ascii="Noto Sans CJK SC" w:hAnsi="Noto Sans CJK SC"/>
          <w:color w:val="666666"/>
          <w:sz w:val="18"/>
        </w:rPr>
        <w:t>版本 v0.2  |  2026-07-15  |  DOC-03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EEF5FB"/>
              <w:left w:val="single" w:sz="4" w:color="EEF5FB"/>
              <w:bottom w:val="single" w:sz="4" w:color="EEF5FB"/>
              <w:right w:val="single" w:sz="4" w:color="EEF5FB"/>
            </w:tcBorders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1F4E78"/>
                <w:sz w:val="21"/>
              </w:rPr>
              <w:t xml:space="preserve">阶段目标  </w:t>
            </w:r>
            <w:r>
              <w:rPr>
                <w:rFonts w:ascii="Noto Sans CJK SC" w:hAnsi="Noto Sans CJK SC"/>
                <w:color w:val="222222"/>
                <w:sz w:val="21"/>
              </w:rPr>
              <w:t>不是立即寻找每个模态的绝对最优，而是先用少量高成功率候选完成 fold_0 训练，筛出每模态 1–2 个稳定编码器，为后续概率融合、特征融合和轻量化提供可靠的 logits 与 embedding。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E2F0D9"/>
              <w:left w:val="single" w:sz="4" w:color="E2F0D9"/>
              <w:bottom w:val="single" w:sz="4" w:color="E2F0D9"/>
              <w:right w:val="single" w:sz="4" w:color="E2F0D9"/>
            </w:tcBorders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2E7D32"/>
                <w:sz w:val="21"/>
              </w:rPr>
              <w:t xml:space="preserve">当前工程输入  </w:t>
            </w:r>
            <w:r>
              <w:rPr>
                <w:rFonts w:ascii="Noto Sans CJK SC" w:hAnsi="Noto Sans CJK SC"/>
                <w:color w:val="222222"/>
                <w:sz w:val="21"/>
              </w:rPr>
              <w:t>任务 01 已完成：metadata/manifest.csv 共 3036 个训练样本键；metadata/splits/fold_0.json 固定 12 名训练用户和 6 名验证用户。fold_0 的并集样本数为训练 1967、验证 1069，验证集覆盖 40 类。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FCE4D6"/>
              <w:left w:val="single" w:sz="4" w:color="FCE4D6"/>
              <w:bottom w:val="single" w:sz="4" w:color="FCE4D6"/>
              <w:right w:val="single" w:sz="4" w:color="FCE4D6"/>
            </w:tcBorders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C65911"/>
                <w:sz w:val="21"/>
              </w:rPr>
              <w:t xml:space="preserve">规则/风险提示  </w:t>
            </w:r>
            <w:r>
              <w:rPr>
                <w:rFonts w:ascii="Noto Sans CJK SC" w:hAnsi="Noto Sans CJK SC"/>
                <w:color w:val="222222"/>
                <w:sz w:val="21"/>
              </w:rPr>
              <w:t>本阶段只处理训练集和 fold_0 验证集，不读取测试集，不分析测试集缺失模态。当前单折输出称为 fold_0 验证预测，不称为 OOF；完整 OOF 需在 fold_1、fold_2 建立并完成三折后生成。小型预训练骨干是否允许需另行确认，默认方案均应支持从头训练。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/>
        </w:rPr>
        <w:t>1. 数据入口与统一读取规则</w:t>
      </w:r>
    </w:p>
    <w:p>
      <w:pPr>
        <w:pStyle w:val="Heading2"/>
        <w:keepNext/>
      </w:pPr>
      <w:r>
        <w:rPr>
          <w:rFonts w:ascii="Noto Sans CJK SC" w:hAnsi="Noto Sans CJK SC"/>
        </w:rPr>
        <w:t>1.1 权威输入文件</w:t>
      </w:r>
    </w:p>
    <w:p>
      <w:pPr>
        <w:pStyle w:val="CodeBlock"/>
        <w:keepLines/>
      </w:pPr>
      <w:r>
        <w:rPr>
          <w:rFonts w:ascii="Noto Sans Mono CJK SC" w:hAnsi="Noto Sans Mono CJK SC"/>
          <w:color w:val="333333"/>
          <w:sz w:val="18"/>
        </w:rPr>
        <w:t>metadata/manifest.csv</w:t>
        <w:br/>
        <w:t>metadata/splits/fold_0.json</w:t>
      </w:r>
    </w:p>
    <w:p>
      <w:r>
        <w:rPr>
          <w:rFonts w:ascii="Noto Sans CJK SC" w:hAnsi="Noto Sans CJK SC"/>
          <w:sz w:val="21"/>
        </w:rPr>
        <w:t>所有单模态训练必须读取这两个文件，不得重新随机划分用户，也不得为不同模态单独创建验证用户。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模态</w:t>
            </w:r>
          </w:p>
        </w:tc>
        <w:tc>
          <w:tcPr>
            <w:tcW w:type="dxa" w:w="18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manifest 路径列</w:t>
            </w:r>
          </w:p>
        </w:tc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目录级 trial 数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首轮 Dataset 筛选条件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Depth_Color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depth_color_path</w:t>
            </w:r>
          </w:p>
        </w:tc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2931</w:t>
            </w:r>
          </w:p>
        </w:tc>
        <w:tc>
          <w:tcPr>
            <w:tcW w:type="dxa" w:w="4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路径非空，user_id 按 fold_0 划分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IMU</w:t>
            </w:r>
          </w:p>
        </w:tc>
        <w:tc>
          <w:tcPr>
            <w:tcW w:type="dxa" w:w="180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imu_path</w:t>
            </w:r>
          </w:p>
        </w:tc>
        <w:tc>
          <w:tcPr>
            <w:tcW w:type="dxa" w:w="115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2903</w:t>
            </w:r>
          </w:p>
        </w:tc>
        <w:tc>
          <w:tcPr>
            <w:tcW w:type="dxa" w:w="460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路径非空，user_id 按 fold_0 划分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IR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ir_path</w:t>
            </w:r>
          </w:p>
        </w:tc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2933</w:t>
            </w:r>
          </w:p>
        </w:tc>
        <w:tc>
          <w:tcPr>
            <w:tcW w:type="dxa" w:w="4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路径非空，user_id 按 fold_0 划分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Radar</w:t>
            </w:r>
          </w:p>
        </w:tc>
        <w:tc>
          <w:tcPr>
            <w:tcW w:type="dxa" w:w="180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radar_path</w:t>
            </w:r>
          </w:p>
        </w:tc>
        <w:tc>
          <w:tcPr>
            <w:tcW w:type="dxa" w:w="115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2914</w:t>
            </w:r>
          </w:p>
        </w:tc>
        <w:tc>
          <w:tcPr>
            <w:tcW w:type="dxa" w:w="460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路径非空，user_id 按 fold_0 划分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Skeleton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skeleton_path</w:t>
            </w:r>
          </w:p>
        </w:tc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2931</w:t>
            </w:r>
          </w:p>
        </w:tc>
        <w:tc>
          <w:tcPr>
            <w:tcW w:type="dxa" w:w="4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路径非空，user_id 按 fold_0 划分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Thermal</w:t>
            </w:r>
          </w:p>
        </w:tc>
        <w:tc>
          <w:tcPr>
            <w:tcW w:type="dxa" w:w="180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thermal_path</w:t>
            </w:r>
          </w:p>
        </w:tc>
        <w:tc>
          <w:tcPr>
            <w:tcW w:type="dxa" w:w="115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2891</w:t>
            </w:r>
          </w:p>
        </w:tc>
        <w:tc>
          <w:tcPr>
            <w:tcW w:type="dxa" w:w="460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路径非空，user_id 按 fold_0 划分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/>
        </w:rPr>
        <w:t>1.2 固定读取顺序</w:t>
      </w:r>
    </w:p>
    <w:p>
      <w:pPr>
        <w:pStyle w:val="CodeBlock"/>
        <w:keepLines/>
      </w:pPr>
      <w:r>
        <w:rPr>
          <w:rFonts w:ascii="Noto Sans Mono CJK SC" w:hAnsi="Noto Sans Mono CJK SC"/>
          <w:color w:val="333333"/>
          <w:sz w:val="18"/>
        </w:rPr>
        <w:t>读取 manifest.csv</w:t>
        <w:br/>
        <w:t>→ 读取 fold_0.json 中的 train_users / val_users</w:t>
        <w:br/>
        <w:t>→ 根据当前模态 path 非空筛选样本</w:t>
        <w:br/>
        <w:t>→ 按 user_id 划分训练集与验证集</w:t>
        <w:br/>
        <w:t>→ 构建当前模态 Dataset 和 DataLoader</w:t>
      </w:r>
    </w:p>
    <w:p>
      <w:r>
        <w:rPr>
          <w:rFonts w:ascii="Noto Sans CJK SC" w:hAnsi="Noto Sans CJK SC"/>
          <w:sz w:val="21"/>
        </w:rPr>
        <w:t>推荐的筛选逻辑：</w:t>
      </w:r>
    </w:p>
    <w:p>
      <w:pPr>
        <w:pStyle w:val="CodeBlock"/>
        <w:keepLines/>
      </w:pPr>
      <w:r>
        <w:rPr>
          <w:rFonts w:ascii="Noto Sans Mono CJK SC" w:hAnsi="Noto Sans Mono CJK SC"/>
          <w:color w:val="333333"/>
          <w:sz w:val="18"/>
        </w:rPr>
        <w:t>path_col = "imu_path"  # 按当前模态替换</w:t>
        <w:br/>
        <w:t>modality_df = manifest[manifest[path_col].fillna("").str.strip().ne("")].copy()</w:t>
        <w:br/>
        <w:t>train_df = modality_df[modality_df["user_id"].isin(train_users)].copy()</w:t>
        <w:br/>
        <w:t>val_df = modality_df[modality_df["user_id"].isin(val_users)].copy()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FCE4D6"/>
              <w:left w:val="single" w:sz="4" w:color="FCE4D6"/>
              <w:bottom w:val="single" w:sz="4" w:color="FCE4D6"/>
              <w:right w:val="single" w:sz="4" w:color="FCE4D6"/>
            </w:tcBorders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C65911"/>
                <w:sz w:val="21"/>
              </w:rPr>
              <w:t xml:space="preserve">重要说明  </w:t>
            </w:r>
            <w:r>
              <w:rPr>
                <w:rFonts w:ascii="Noto Sans CJK SC" w:hAnsi="Noto Sans CJK SC"/>
                <w:color w:val="222222"/>
                <w:sz w:val="21"/>
              </w:rPr>
              <w:t>fold_0.json 中的 1967/1069 是 manifest 并集上的样本数，不是每个模态的实际训练/验证样本数。每次实验必须重新报告当前模态筛选后的 train_sample_count 与 val_sample_count。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/>
        </w:rPr>
        <w:t>1.3 统一模型接口</w:t>
      </w:r>
    </w:p>
    <w:p>
      <w:pPr>
        <w:pStyle w:val="CodeBlock"/>
        <w:keepLines/>
      </w:pPr>
      <w:r>
        <w:rPr>
          <w:rFonts w:ascii="Noto Sans Mono CJK SC" w:hAnsi="Noto Sans Mono CJK SC"/>
          <w:color w:val="333333"/>
          <w:sz w:val="18"/>
        </w:rPr>
        <w:t>forward(x, temporal_mask=None) -&gt; {</w:t>
        <w:br/>
        <w:t xml:space="preserve">  "embedding": Tensor[B, D],   # 推荐 D=128 或 256</w:t>
        <w:br/>
        <w:t xml:space="preserve">  "logits": Tensor[B, 40],</w:t>
        <w:br/>
        <w:t xml:space="preserve">  "aux": {...}                 # 可选</w:t>
        <w:br/>
        <w:t>}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embedding 统一为 128 或 256 维，便于后续特征融合。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temporal_mask 只表示序列 padding 或有效时间步，不表示模态是否缺失。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当前模态 path 为空的样本不进入该单模态 Dataset。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验证输出必须携带 sample_id，禁止仅依赖数组行号对齐。</w:t>
      </w:r>
    </w:p>
    <w:p>
      <w:pPr>
        <w:pStyle w:val="Heading2"/>
        <w:keepNext/>
      </w:pPr>
      <w:r>
        <w:rPr>
          <w:rFonts w:ascii="Noto Sans CJK SC" w:hAnsi="Noto Sans CJK SC"/>
        </w:rPr>
        <w:t>1.4 统一实验输出</w:t>
      </w:r>
    </w:p>
    <w:p>
      <w:pPr>
        <w:pStyle w:val="CodeBlock"/>
        <w:keepLines/>
      </w:pPr>
      <w:r>
        <w:rPr>
          <w:rFonts w:ascii="Noto Sans Mono CJK SC" w:hAnsi="Noto Sans Mono CJK SC"/>
          <w:color w:val="333333"/>
          <w:sz w:val="18"/>
        </w:rPr>
        <w:t>outputs/&lt;modality&gt;/&lt;run_id&gt;/</w:t>
        <w:br/>
        <w:t>├── config.yaml</w:t>
        <w:br/>
        <w:t>├── best_model.pt</w:t>
        <w:br/>
        <w:t>├── metrics.json</w:t>
        <w:br/>
        <w:t>├── history.csv</w:t>
        <w:br/>
        <w:t>├── fold_0_val_predictions.npz</w:t>
        <w:br/>
        <w:t>└── confusion_matrix.png</w:t>
      </w:r>
    </w:p>
    <w:p>
      <w:r>
        <w:rPr>
          <w:rFonts w:ascii="Noto Sans CJK SC" w:hAnsi="Noto Sans CJK SC"/>
          <w:sz w:val="21"/>
        </w:rPr>
        <w:t>fold_0_val_predictions.npz 至少保存：</w:t>
      </w:r>
    </w:p>
    <w:p>
      <w:pPr>
        <w:pStyle w:val="CodeBlock"/>
        <w:keepLines/>
      </w:pPr>
      <w:r>
        <w:rPr>
          <w:rFonts w:ascii="Noto Sans Mono CJK SC" w:hAnsi="Noto Sans Mono CJK SC"/>
          <w:color w:val="333333"/>
          <w:sz w:val="18"/>
        </w:rPr>
        <w:t>sample_ids, labels, logits, embeddings, class_order</w:t>
      </w:r>
    </w:p>
    <w:p>
      <w:r>
        <w:rPr>
          <w:rFonts w:ascii="Noto Sans CJK SC" w:hAnsi="Noto Sans CJK SC"/>
          <w:sz w:val="21"/>
        </w:rPr>
        <w:t>其中 sample_ids、labels、logits 和 embeddings 必须位于同一个文件中，避免独立文件顺序错位。</w:t>
      </w:r>
    </w:p>
    <w:p>
      <w:pPr>
        <w:pStyle w:val="Heading1"/>
        <w:keepNext/>
      </w:pPr>
      <w:r>
        <w:rPr>
          <w:rFonts w:ascii="Noto Sans CJK SC" w:hAnsi="Noto Sans CJK SC"/>
        </w:rPr>
        <w:t>2. 统一训练协议与比较标准</w:t>
      </w:r>
    </w:p>
    <w:p>
      <w:pPr>
        <w:pStyle w:val="Heading2"/>
        <w:keepNext/>
      </w:pPr>
      <w:r>
        <w:rPr>
          <w:rFonts w:ascii="Noto Sans CJK SC" w:hAnsi="Noto Sans CJK SC"/>
        </w:rPr>
        <w:t>2.1 首轮训练默认值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2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首轮搜索范围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随机种子</w:t>
            </w:r>
          </w:p>
        </w:tc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20260715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固定</w:t>
            </w:r>
          </w:p>
        </w:tc>
        <w:tc>
          <w:tcPr>
            <w:tcW w:type="dxa" w:w="43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模型、DataLoader 和增强均固定种子</w:t>
            </w:r>
          </w:p>
        </w:tc>
      </w:tr>
      <w:tr>
        <w:tc>
          <w:tcPr>
            <w:tcW w:type="dxa" w:w="129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优化器</w:t>
            </w:r>
          </w:p>
        </w:tc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AdamW</w:t>
            </w:r>
          </w:p>
        </w:tc>
        <w:tc>
          <w:tcPr>
            <w:tcW w:type="dxa" w:w="216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AdamW</w:t>
            </w:r>
          </w:p>
        </w:tc>
        <w:tc>
          <w:tcPr>
            <w:tcW w:type="dxa" w:w="43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先统一协议，再比较模型结构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学习率</w:t>
            </w:r>
          </w:p>
        </w:tc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3e-4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1e-4 / 3e-4 / 1e-3</w:t>
            </w:r>
          </w:p>
        </w:tc>
        <w:tc>
          <w:tcPr>
            <w:tcW w:type="dxa" w:w="43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视觉骨干较大时可降到 1e-4</w:t>
            </w:r>
          </w:p>
        </w:tc>
      </w:tr>
      <w:tr>
        <w:tc>
          <w:tcPr>
            <w:tcW w:type="dxa" w:w="129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权重衰减</w:t>
            </w:r>
          </w:p>
        </w:tc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1e-4</w:t>
            </w:r>
          </w:p>
        </w:tc>
        <w:tc>
          <w:tcPr>
            <w:tcW w:type="dxa" w:w="216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1e-5 / 1e-4 / 1e-3</w:t>
            </w:r>
          </w:p>
        </w:tc>
        <w:tc>
          <w:tcPr>
            <w:tcW w:type="dxa" w:w="43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小数据可适当增强正则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训练轮数</w:t>
            </w:r>
          </w:p>
        </w:tc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50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40–80</w:t>
            </w:r>
          </w:p>
        </w:tc>
        <w:tc>
          <w:tcPr>
            <w:tcW w:type="dxa" w:w="43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保存验证集最佳权重</w:t>
            </w:r>
          </w:p>
        </w:tc>
      </w:tr>
      <w:tr>
        <w:tc>
          <w:tcPr>
            <w:tcW w:type="dxa" w:w="129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早停</w:t>
            </w:r>
          </w:p>
        </w:tc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patience 10</w:t>
            </w:r>
          </w:p>
        </w:tc>
        <w:tc>
          <w:tcPr>
            <w:tcW w:type="dxa" w:w="216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8–15</w:t>
            </w:r>
          </w:p>
        </w:tc>
        <w:tc>
          <w:tcPr>
            <w:tcW w:type="dxa" w:w="43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首轮避免无意义长训练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损失</w:t>
            </w:r>
          </w:p>
        </w:tc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交叉熵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label smoothing 0 / 0.05</w:t>
            </w:r>
          </w:p>
        </w:tc>
        <w:tc>
          <w:tcPr>
            <w:tcW w:type="dxa" w:w="43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类别较均衡时不默认加 class weight</w:t>
            </w:r>
          </w:p>
        </w:tc>
      </w:tr>
      <w:tr>
        <w:tc>
          <w:tcPr>
            <w:tcW w:type="dxa" w:w="129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学习率计划</w:t>
            </w:r>
          </w:p>
        </w:tc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cosine</w:t>
            </w:r>
          </w:p>
        </w:tc>
        <w:tc>
          <w:tcPr>
            <w:tcW w:type="dxa" w:w="216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cosine + 5% warmup</w:t>
            </w:r>
          </w:p>
        </w:tc>
        <w:tc>
          <w:tcPr>
            <w:tcW w:type="dxa" w:w="43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统一用于首轮比较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梯度裁剪</w:t>
            </w:r>
          </w:p>
        </w:tc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1.0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0.5 / 1.0</w:t>
            </w:r>
          </w:p>
        </w:tc>
        <w:tc>
          <w:tcPr>
            <w:tcW w:type="dxa" w:w="43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RNN 和 Transformer 尤其建议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/>
        </w:rPr>
        <w:t>2.2 数据统计与标准化</w:t>
      </w:r>
    </w:p>
    <w:p>
      <w:pPr>
        <w:pStyle w:val="ListBullet"/>
        <w:spacing w:after="40"/>
      </w:pPr>
      <w:r>
        <w:rPr>
          <w:rFonts w:ascii="Noto Sans CJK SC" w:hAnsi="Noto Sans CJK SC"/>
        </w:rPr>
        <w:t>所有均值、标准差、归一化参数和类别权重只能由 fold_0 的训练用户计算。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验证用户只能使用训练集统计量，不能参与标准化参数估计。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图像增强只用于训练集；验证集使用确定性采样和确定性 resize。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每个 epoch 打乱训练样本，但保持每个 trial 内部时间顺序。</w:t>
      </w:r>
    </w:p>
    <w:p>
      <w:pPr>
        <w:pStyle w:val="Heading2"/>
        <w:keepNext/>
      </w:pPr>
      <w:r>
        <w:rPr>
          <w:rFonts w:ascii="Noto Sans CJK SC" w:hAnsi="Noto Sans CJK SC"/>
        </w:rPr>
        <w:t>2.3 必须报告的指标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6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必须报告</w:t>
            </w:r>
          </w:p>
        </w:tc>
        <w:tc>
          <w:tcPr>
            <w:tcW w:type="dxa" w:w="417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数据规模</w:t>
            </w:r>
          </w:p>
        </w:tc>
        <w:tc>
          <w:tcPr>
            <w:tcW w:type="dxa" w:w="36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train_sample_count、val_sample_count</w:t>
            </w:r>
          </w:p>
        </w:tc>
        <w:tc>
          <w:tcPr>
            <w:tcW w:type="dxa" w:w="41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解释不同模态实际使用的样本数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分类表现</w:t>
            </w:r>
          </w:p>
        </w:tc>
        <w:tc>
          <w:tcPr>
            <w:tcW w:type="dxa" w:w="360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Accuracy、Macro-F1</w:t>
            </w:r>
          </w:p>
        </w:tc>
        <w:tc>
          <w:tcPr>
            <w:tcW w:type="dxa" w:w="417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主指标与类别均衡表现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类别分析</w:t>
            </w:r>
          </w:p>
        </w:tc>
        <w:tc>
          <w:tcPr>
            <w:tcW w:type="dxa" w:w="36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混淆矩阵、per-class recall</w:t>
            </w:r>
          </w:p>
        </w:tc>
        <w:tc>
          <w:tcPr>
            <w:tcW w:type="dxa" w:w="41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定位相似动作与弱类别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模型成本</w:t>
            </w:r>
          </w:p>
        </w:tc>
        <w:tc>
          <w:tcPr>
            <w:tcW w:type="dxa" w:w="360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参数量、FP32 checkpoint 大小</w:t>
            </w:r>
          </w:p>
        </w:tc>
        <w:tc>
          <w:tcPr>
            <w:tcW w:type="dxa" w:w="417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为 100 MB 总预算做准备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推理成本</w:t>
            </w:r>
          </w:p>
        </w:tc>
        <w:tc>
          <w:tcPr>
            <w:tcW w:type="dxa" w:w="36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batch=1 延迟、峰值显存</w:t>
            </w:r>
          </w:p>
        </w:tc>
        <w:tc>
          <w:tcPr>
            <w:tcW w:type="dxa" w:w="41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比较部署可行性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稳定性</w:t>
            </w:r>
          </w:p>
        </w:tc>
        <w:tc>
          <w:tcPr>
            <w:tcW w:type="dxa" w:w="360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最佳 epoch、训练/验证曲线</w:t>
            </w:r>
          </w:p>
        </w:tc>
        <w:tc>
          <w:tcPr>
            <w:tcW w:type="dxa" w:w="417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识别欠拟合与过拟合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/>
        </w:rPr>
        <w:t>2.4 模型选择规则</w:t>
      </w:r>
    </w:p>
    <w:p>
      <w:pPr>
        <w:pStyle w:val="ListBullet"/>
        <w:spacing w:after="40"/>
      </w:pPr>
      <w:r>
        <w:rPr>
          <w:rFonts w:ascii="Noto Sans CJK SC" w:hAnsi="Noto Sans CJK SC"/>
        </w:rPr>
        <w:t>首选指标为 fold_0 Accuracy；若准确率接近，再比较 Macro-F1、模型大小和推理速度。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每个模态先保留 1 个最稳模型和 1 个互补结构，不因单次轻微增益保留大量重复模型。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当前阶段不根据 Kaggle 公榜选择模型，也不运行测试集推理。</w:t>
      </w:r>
    </w:p>
    <w:p>
      <w:pPr>
        <w:pStyle w:val="Heading1"/>
        <w:keepNext/>
      </w:pPr>
      <w:r>
        <w:rPr>
          <w:rFonts w:ascii="Noto Sans CJK SC" w:hAnsi="Noto Sans CJK SC"/>
        </w:rPr>
        <w:t>3. 三种视觉模态：Depth_Color / IR / Thermal</w:t>
      </w:r>
    </w:p>
    <w:p>
      <w:pPr>
        <w:pStyle w:val="Heading2"/>
        <w:keepNext/>
      </w:pPr>
      <w:r>
        <w:rPr>
          <w:rFonts w:ascii="Noto Sans CJK SC" w:hAnsi="Noto Sans CJK SC"/>
        </w:rPr>
        <w:t>3.1 已确认的数据形式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模态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文件形式</w:t>
            </w:r>
          </w:p>
        </w:tc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默认通道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一个样本的读取方式</w:t>
            </w:r>
          </w:p>
        </w:tc>
      </w:tr>
      <w:tr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Depth_Color</w:t>
            </w:r>
          </w:p>
        </w:tc>
        <w:tc>
          <w:tcPr>
            <w:tcW w:type="dxa" w:w="25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640×480 RGB PNG 序列</w:t>
            </w:r>
          </w:p>
        </w:tc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3</w:t>
            </w:r>
          </w:p>
        </w:tc>
        <w:tc>
          <w:tcPr>
            <w:tcW w:type="dxa" w:w="40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trial 内全部帧排序后均匀采样</w:t>
            </w:r>
          </w:p>
        </w:tc>
      </w:tr>
      <w:tr>
        <w:tc>
          <w:tcPr>
            <w:tcW w:type="dxa" w:w="158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IR</w:t>
            </w:r>
          </w:p>
        </w:tc>
        <w:tc>
          <w:tcPr>
            <w:tcW w:type="dxa" w:w="259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640×480 单通道 PNG 序列</w:t>
            </w:r>
          </w:p>
        </w:tc>
        <w:tc>
          <w:tcPr>
            <w:tcW w:type="dxa" w:w="115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1</w:t>
            </w:r>
          </w:p>
        </w:tc>
        <w:tc>
          <w:tcPr>
            <w:tcW w:type="dxa" w:w="40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trial 内全部帧排序后均匀采样</w:t>
            </w:r>
          </w:p>
        </w:tc>
      </w:tr>
      <w:tr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Thermal</w:t>
            </w:r>
          </w:p>
        </w:tc>
        <w:tc>
          <w:tcPr>
            <w:tcW w:type="dxa" w:w="25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320×240 RGB JPEG 序列</w:t>
            </w:r>
          </w:p>
        </w:tc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3</w:t>
            </w:r>
          </w:p>
        </w:tc>
        <w:tc>
          <w:tcPr>
            <w:tcW w:type="dxa" w:w="40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按实际 RGB 文件读取，不默认转单通道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E2F0D9"/>
              <w:left w:val="single" w:sz="4" w:color="E2F0D9"/>
              <w:bottom w:val="single" w:sz="4" w:color="E2F0D9"/>
              <w:right w:val="single" w:sz="4" w:color="E2F0D9"/>
            </w:tcBorders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2E7D32"/>
                <w:sz w:val="21"/>
              </w:rPr>
              <w:t xml:space="preserve">修订重点  </w:t>
            </w:r>
            <w:r>
              <w:rPr>
                <w:rFonts w:ascii="Noto Sans CJK SC" w:hAnsi="Noto Sans CJK SC"/>
                <w:color w:val="222222"/>
                <w:sz w:val="21"/>
              </w:rPr>
              <w:t>Thermal 文件为 RGB JPEG，因此首轮默认按 3 通道读取。只有确认三个通道完全重复或单通道实验确有收益时，才增加单通道消融。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/>
        </w:rPr>
        <w:t>3.2 视觉候选模型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候选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空间编码器</w:t>
            </w:r>
          </w:p>
        </w:tc>
        <w:tc>
          <w:tcPr>
            <w:tcW w:type="dxa" w:w="19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时间模块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建议输入</w:t>
            </w:r>
          </w:p>
        </w:tc>
        <w:tc>
          <w:tcPr>
            <w:tcW w:type="dxa" w:w="31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优先级与用途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V-A 安全基线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MobileNetV3-Small / ShuffleNetV2 x1.0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时间 mean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12 帧，192²</w:t>
            </w:r>
          </w:p>
        </w:tc>
        <w:tc>
          <w:tcPr>
            <w:tcW w:type="dxa" w:w="31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最高；稳定、小型、便于后续共享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V-B 强基线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EfficientNet-B0 / MobileNetV3-Large</w:t>
            </w:r>
          </w:p>
        </w:tc>
        <w:tc>
          <w:tcPr>
            <w:tcW w:type="dxa" w:w="194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mean 或 mean+max</w:t>
            </w:r>
          </w:p>
        </w:tc>
        <w:tc>
          <w:tcPr>
            <w:tcW w:type="dxa" w:w="158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12/16 帧，192/224</w:t>
            </w:r>
          </w:p>
        </w:tc>
        <w:tc>
          <w:tcPr>
            <w:tcW w:type="dxa" w:w="316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更强空间表征；关注总模型预算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V-C 时序 CNN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MobileNetV3-Small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2–3 层 depthwise TCN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16 帧，192²</w:t>
            </w:r>
          </w:p>
        </w:tc>
        <w:tc>
          <w:tcPr>
            <w:tcW w:type="dxa" w:w="31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动作顺序重要时优先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V-D 传统参照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ResNet18</w:t>
            </w:r>
          </w:p>
        </w:tc>
        <w:tc>
          <w:tcPr>
            <w:tcW w:type="dxa" w:w="194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mean / 1 层 GRU</w:t>
            </w:r>
          </w:p>
        </w:tc>
        <w:tc>
          <w:tcPr>
            <w:tcW w:type="dxa" w:w="158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8/12 帧，160/224</w:t>
            </w:r>
          </w:p>
        </w:tc>
        <w:tc>
          <w:tcPr>
            <w:tcW w:type="dxa" w:w="316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可靠参照，但三视觉独立时偏大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V-E 轻量视频 CNN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X3D-XS / 自定义 3D depthwise CNN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内部时空卷积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16×160²</w:t>
            </w:r>
          </w:p>
        </w:tc>
        <w:tc>
          <w:tcPr>
            <w:tcW w:type="dxa" w:w="31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后续；显存和实现风险较高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V-F Tiny Transformer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轻量 2D CNN</w:t>
            </w:r>
          </w:p>
        </w:tc>
        <w:tc>
          <w:tcPr>
            <w:tcW w:type="dxa" w:w="194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2 层 Transformer，d=128/192</w:t>
            </w:r>
          </w:p>
        </w:tc>
        <w:tc>
          <w:tcPr>
            <w:tcW w:type="dxa" w:w="158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12/16 帧，192²</w:t>
            </w:r>
          </w:p>
        </w:tc>
        <w:tc>
          <w:tcPr>
            <w:tcW w:type="dxa" w:w="316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在稳定基线后尝试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/>
        </w:rPr>
        <w:t>3.3 视觉默认参数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19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首选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搜索值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注意事项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帧采样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全片均匀 12 帧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8/12/16/24</w:t>
            </w:r>
          </w:p>
        </w:tc>
        <w:tc>
          <w:tcPr>
            <w:tcW w:type="dxa" w:w="43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训练可随机偏移采样位置；验证保持确定性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分辨率</w:t>
            </w:r>
          </w:p>
        </w:tc>
        <w:tc>
          <w:tcPr>
            <w:tcW w:type="dxa" w:w="194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192×192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160/192/224</w:t>
            </w:r>
          </w:p>
        </w:tc>
        <w:tc>
          <w:tcPr>
            <w:tcW w:type="dxa" w:w="43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先验证 192；224 增益需覆盖额外计算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输入通道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Depth 3；IR 1；Thermal 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IR 可复制为 3 通道</w:t>
            </w:r>
          </w:p>
        </w:tc>
        <w:tc>
          <w:tcPr>
            <w:tcW w:type="dxa" w:w="43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共享骨干时再统一通道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时间聚合</w:t>
            </w:r>
          </w:p>
        </w:tc>
        <w:tc>
          <w:tcPr>
            <w:tcW w:type="dxa" w:w="194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mean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mean / mean+max / TCN</w:t>
            </w:r>
          </w:p>
        </w:tc>
        <w:tc>
          <w:tcPr>
            <w:tcW w:type="dxa" w:w="43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mean 是最高成功率起点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增强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裁剪、平移、轻旋转、时间裁剪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噪声、模糊、强度扰动</w:t>
            </w:r>
          </w:p>
        </w:tc>
        <w:tc>
          <w:tcPr>
            <w:tcW w:type="dxa" w:w="43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左右动作存在时不要盲目水平翻转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dropout</w:t>
            </w:r>
          </w:p>
        </w:tc>
        <w:tc>
          <w:tcPr>
            <w:tcW w:type="dxa" w:w="194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0.2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0.1/0.2/0.3/0.5</w:t>
            </w:r>
          </w:p>
        </w:tc>
        <w:tc>
          <w:tcPr>
            <w:tcW w:type="dxa" w:w="43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跨用户泛化不足时再提高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/>
        </w:rPr>
        <w:t>3.4 每种视觉模态的首轮顺序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模态</w:t>
            </w:r>
          </w:p>
        </w:tc>
        <w:tc>
          <w:tcPr>
            <w:tcW w:type="dxa" w:w="19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第 1 个模型</w:t>
            </w:r>
          </w:p>
        </w:tc>
        <w:tc>
          <w:tcPr>
            <w:tcW w:type="dxa" w:w="19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第 2 个模型</w:t>
            </w:r>
          </w:p>
        </w:tc>
        <w:tc>
          <w:tcPr>
            <w:tcW w:type="dxa" w:w="20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第 3 个模型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关注点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Depth_Color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MobileNetV3-S + mean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EffNet-B0 + mean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MobileNetV3-S + TCN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轮廓与运动；避免依赖伪彩色</w:t>
            </w:r>
          </w:p>
        </w:tc>
      </w:tr>
      <w:tr>
        <w:tc>
          <w:tcPr>
            <w:tcW w:type="dxa" w:w="144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IR</w:t>
            </w:r>
          </w:p>
        </w:tc>
        <w:tc>
          <w:tcPr>
            <w:tcW w:type="dxa" w:w="194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MobileNetV3-S + mean</w:t>
            </w:r>
          </w:p>
        </w:tc>
        <w:tc>
          <w:tcPr>
            <w:tcW w:type="dxa" w:w="194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EffNet-B0 + mean+max</w:t>
            </w:r>
          </w:p>
        </w:tc>
        <w:tc>
          <w:tcPr>
            <w:tcW w:type="dxa" w:w="201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MobileNetV3-S + TCN</w:t>
            </w:r>
          </w:p>
        </w:tc>
        <w:tc>
          <w:tcPr>
            <w:tcW w:type="dxa" w:w="302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灰度纹理与轮廓；比较单通道 stem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Thermal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MobileNetV3-S + mean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EffNet-B0 + mean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MobileNetV3-S + TCN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默认 RGB 输入；关注热轮廓和时间变化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/>
        </w:rPr>
        <w:t>4. IMU：双 CSV 时序基线</w:t>
      </w:r>
    </w:p>
    <w:p>
      <w:pPr>
        <w:pStyle w:val="Heading2"/>
        <w:keepNext/>
      </w:pPr>
      <w:r>
        <w:rPr>
          <w:rFonts w:ascii="Noto Sans CJK SC" w:hAnsi="Noto Sans CJK SC"/>
        </w:rPr>
        <w:t>4.1 实际输入结构</w:t>
      </w:r>
    </w:p>
    <w:p>
      <w:pPr>
        <w:pStyle w:val="CodeBlock"/>
        <w:keepLines/>
      </w:pPr>
      <w:r>
        <w:rPr>
          <w:rFonts w:ascii="Noto Sans Mono CJK SC" w:hAnsi="Noto Sans Mono CJK SC"/>
          <w:color w:val="333333"/>
          <w:sz w:val="18"/>
        </w:rPr>
        <w:t>IMU/&lt;class&gt;/&lt;user&gt;/&lt;trial&gt;/</w:t>
        <w:br/>
        <w:t>├── up(LA+RA+C).csv</w:t>
        <w:br/>
        <w:t>└── down(LL+RL).csv</w:t>
      </w:r>
    </w:p>
    <w:p>
      <w:r>
        <w:rPr>
          <w:rFonts w:ascii="Noto Sans CJK SC" w:hAnsi="Noto Sans CJK SC"/>
          <w:sz w:val="21"/>
        </w:rPr>
        <w:t>两个 CSV 共同组成一个 trial 样本，不能拆成两个训练样本。设备名称、MAC 地址或设备 ID 仅用于分组，不作为模型特征。</w:t>
      </w:r>
    </w:p>
    <w:p>
      <w:pPr>
        <w:pStyle w:val="Heading2"/>
        <w:keepNext/>
      </w:pPr>
      <w:r>
        <w:rPr>
          <w:rFonts w:ascii="Noto Sans CJK SC" w:hAnsi="Noto Sans CJK SC"/>
        </w:rPr>
        <w:t>4.2 推荐预处理顺序</w:t>
      </w:r>
    </w:p>
    <w:p>
      <w:pPr>
        <w:pStyle w:val="CodeBlock"/>
        <w:keepLines/>
      </w:pPr>
      <w:r>
        <w:rPr>
          <w:rFonts w:ascii="Noto Sans Mono CJK SC" w:hAnsi="Noto Sans Mono CJK SC"/>
          <w:color w:val="333333"/>
          <w:sz w:val="18"/>
        </w:rPr>
        <w:t>读取 up/down 两个 CSV</w:t>
        <w:br/>
        <w:t>→ 识别设备或传感器分组</w:t>
        <w:br/>
        <w:t>→ 每个设备内部按时间排序</w:t>
        <w:br/>
        <w:t>→ 提取数值传感器通道</w:t>
        <w:br/>
        <w:t>→ 使用训练用户统计做 z-score</w:t>
        <w:br/>
        <w:t>→ 各设备重采样到固定长度 T</w:t>
        <w:br/>
        <w:t>→ 直接拼接或上/下身分支编码</w:t>
      </w:r>
    </w:p>
    <w:p>
      <w:pPr>
        <w:pStyle w:val="ListBullet"/>
        <w:spacing w:after="40"/>
      </w:pPr>
      <w:r>
        <w:rPr>
          <w:rFonts w:ascii="Noto Sans CJK SC" w:hAnsi="Noto Sans CJK SC"/>
        </w:rPr>
        <w:t>首轮固定长度建议 T=256；同时保留原始长度和 temporal_mask。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数据增强：轻微高斯噪声、幅度缩放、时间伸缩和低概率通道 dropout。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派生特征（模长、差分、局部统计）在 raw baseline 稳定后再加入。</w:t>
      </w:r>
    </w:p>
    <w:p>
      <w:pPr>
        <w:pStyle w:val="Heading2"/>
        <w:keepNext/>
      </w:pPr>
      <w:r>
        <w:rPr>
          <w:rFonts w:ascii="Noto Sans CJK SC" w:hAnsi="Noto Sans CJK SC"/>
        </w:rPr>
        <w:t>4.3 IMU 候选模型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3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候选</w:t>
            </w:r>
          </w:p>
        </w:tc>
        <w:tc>
          <w:tcPr>
            <w:tcW w:type="dxa" w:w="20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结构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关键参数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优点</w:t>
            </w:r>
          </w:p>
        </w:tc>
        <w:tc>
          <w:tcPr>
            <w:tcW w:type="dxa" w:w="20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风险/适用</w:t>
            </w:r>
          </w:p>
        </w:tc>
      </w:tr>
      <w:tr>
        <w:tc>
          <w:tcPr>
            <w:tcW w:type="dxa" w:w="13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I-A 首选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TCN / ResNet1D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channels 64-128-256；kernel 5；dilation 1/2/4/8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最容易检查数据维度、mask 和收敛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需正确处理 padding</w:t>
            </w:r>
          </w:p>
        </w:tc>
      </w:tr>
      <w:tr>
        <w:tc>
          <w:tcPr>
            <w:tcW w:type="dxa" w:w="136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I-B 强基线</w:t>
            </w:r>
          </w:p>
        </w:tc>
        <w:tc>
          <w:tcPr>
            <w:tcW w:type="dxa" w:w="208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InceptionTime-Small</w:t>
            </w:r>
          </w:p>
        </w:tc>
        <w:tc>
          <w:tcPr>
            <w:tcW w:type="dxa" w:w="302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3 blocks；filters 32/64；kernels 9/19/39；T=256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多尺度卷积适合不同动作频率</w:t>
            </w:r>
          </w:p>
        </w:tc>
        <w:tc>
          <w:tcPr>
            <w:tcW w:type="dxa" w:w="208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实现略复杂</w:t>
            </w:r>
          </w:p>
        </w:tc>
      </w:tr>
      <w:tr>
        <w:tc>
          <w:tcPr>
            <w:tcW w:type="dxa" w:w="13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I-C 双分支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upper encoder + lower encoder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各 TCN 64/128；融合 128/256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利用上/下身结构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需稳定对齐两个 CSV</w:t>
            </w:r>
          </w:p>
        </w:tc>
      </w:tr>
      <w:tr>
        <w:tc>
          <w:tcPr>
            <w:tcW w:type="dxa" w:w="136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I-D 参照</w:t>
            </w:r>
          </w:p>
        </w:tc>
        <w:tc>
          <w:tcPr>
            <w:tcW w:type="dxa" w:w="208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1–2 层 BiGRU</w:t>
            </w:r>
          </w:p>
        </w:tc>
        <w:tc>
          <w:tcPr>
            <w:tcW w:type="dxa" w:w="302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hidden 128/256；dropout 0.2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直观时序参照</w:t>
            </w:r>
          </w:p>
        </w:tc>
        <w:tc>
          <w:tcPr>
            <w:tcW w:type="dxa" w:w="208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速度较慢，可能过拟合</w:t>
            </w:r>
          </w:p>
        </w:tc>
      </w:tr>
      <w:tr>
        <w:tc>
          <w:tcPr>
            <w:tcW w:type="dxa" w:w="13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I-E 后续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Tiny Transformer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2–4 layers；d=128；heads 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建模长距离关系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数据量不足时未必优于 TCN</w:t>
            </w:r>
          </w:p>
        </w:tc>
      </w:tr>
    </w:tbl>
    <w:p/>
    <w:p>
      <w:r>
        <w:rPr>
          <w:rFonts w:ascii="Noto Sans CJK SC" w:hAnsi="Noto Sans CJK SC"/>
          <w:sz w:val="21"/>
        </w:rPr>
        <w:t>首轮顺序：TCN/ResNet1D → InceptionTime-Small → upper/lower 双分支 TCN；BiGRU 和 Tiny Transformer 作为参照或后续实验。</w:t>
      </w:r>
    </w:p>
    <w:p>
      <w:pPr>
        <w:pStyle w:val="Heading1"/>
        <w:keepNext/>
      </w:pPr>
      <w:r>
        <w:rPr>
          <w:rFonts w:ascii="Noto Sans CJK SC" w:hAnsi="Noto Sans CJK SC"/>
        </w:rPr>
        <w:t>5. Skeleton：关键点序列基线</w:t>
      </w:r>
    </w:p>
    <w:p>
      <w:pPr>
        <w:pStyle w:val="Heading2"/>
        <w:keepNext/>
      </w:pPr>
      <w:r>
        <w:rPr>
          <w:rFonts w:ascii="Noto Sans CJK SC" w:hAnsi="Noto Sans CJK SC"/>
        </w:rPr>
        <w:t>5.1 实际读取位置</w:t>
      </w:r>
    </w:p>
    <w:p>
      <w:pPr>
        <w:pStyle w:val="CodeBlock"/>
        <w:keepLines/>
      </w:pPr>
      <w:r>
        <w:rPr>
          <w:rFonts w:ascii="Noto Sans Mono CJK SC" w:hAnsi="Noto Sans Mono CJK SC"/>
          <w:color w:val="333333"/>
          <w:sz w:val="18"/>
        </w:rPr>
        <w:t>Skeleton/&lt;class&gt;/&lt;user&gt;/&lt;trial&gt;/predictions/*.json</w:t>
      </w:r>
    </w:p>
    <w:p>
      <w:r>
        <w:rPr>
          <w:rFonts w:ascii="Noto Sans CJK SC" w:hAnsi="Noto Sans CJK SC"/>
          <w:sz w:val="21"/>
        </w:rPr>
        <w:t>Dataset 应递归读取 predictions 下的全部 JSON，并按帧号或时间戳排序。一个 JSON 是一个时间步，不是一个独立训练样本。</w:t>
      </w:r>
    </w:p>
    <w:p>
      <w:pPr>
        <w:pStyle w:val="Heading2"/>
        <w:keepNext/>
      </w:pPr>
      <w:r>
        <w:rPr>
          <w:rFonts w:ascii="Noto Sans CJK SC" w:hAnsi="Noto Sans CJK SC"/>
        </w:rPr>
        <w:t>5.2 默认表示与预处理</w:t>
      </w:r>
    </w:p>
    <w:p>
      <w:pPr>
        <w:pStyle w:val="ListBullet"/>
        <w:spacing w:after="40"/>
      </w:pPr>
      <w:r>
        <w:rPr>
          <w:rFonts w:ascii="Noto Sans CJK SC" w:hAnsi="Noto Sans CJK SC"/>
        </w:rPr>
        <w:t>形成 [T, J, C] 关键点序列，J 和坐标维度以实际 JSON 为准。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以髋部或躯干中心为原点，按肩宽或骨架尺度归一化。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加入一阶速度和骨向量，通常比盲目增加网络深度更有效。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多人骨架时固定主人体选择规则；缺失关节保留 confidence/valid mask。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首轮长度建议 T=64 或 96，采用插值或均匀采样。</w:t>
      </w:r>
    </w:p>
    <w:p>
      <w:pPr>
        <w:pStyle w:val="Heading2"/>
        <w:keepNext/>
      </w:pPr>
      <w:r>
        <w:rPr>
          <w:rFonts w:ascii="Noto Sans CJK SC" w:hAnsi="Noto Sans CJK SC"/>
        </w:rPr>
        <w:t>5.3 Skeleton 候选模型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候选</w:t>
            </w:r>
          </w:p>
        </w:tc>
        <w:tc>
          <w:tcPr>
            <w:tcW w:type="dxa" w:w="25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输入表示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结构</w:t>
            </w:r>
          </w:p>
        </w:tc>
        <w:tc>
          <w:tcPr>
            <w:tcW w:type="dxa" w:w="30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关键参数</w:t>
            </w:r>
          </w:p>
        </w:tc>
        <w:tc>
          <w:tcPr>
            <w:tcW w:type="dxa" w:w="12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优先级</w:t>
            </w:r>
          </w:p>
        </w:tc>
      </w:tr>
      <w:tr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S-A 安全首选</w:t>
            </w:r>
          </w:p>
        </w:tc>
        <w:tc>
          <w:tcPr>
            <w:tcW w:type="dxa" w:w="25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root-centered [T,J,C] + velocity</w:t>
            </w:r>
          </w:p>
        </w:tc>
        <w:tc>
          <w:tcPr>
            <w:tcW w:type="dxa" w:w="17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TCN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T=64/96；channels 64/128/256；kernel 3/5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最高</w:t>
            </w:r>
          </w:p>
        </w:tc>
      </w:tr>
      <w:tr>
        <w:tc>
          <w:tcPr>
            <w:tcW w:type="dxa" w:w="158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S-B 图像化骨架</w:t>
            </w:r>
          </w:p>
        </w:tc>
        <w:tc>
          <w:tcPr>
            <w:tcW w:type="dxa" w:w="25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[C,T,J] 关节-时间图</w:t>
            </w:r>
          </w:p>
        </w:tc>
        <w:tc>
          <w:tcPr>
            <w:tcW w:type="dxa" w:w="172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小型 2D CNN</w:t>
            </w:r>
          </w:p>
        </w:tc>
        <w:tc>
          <w:tcPr>
            <w:tcW w:type="dxa" w:w="309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4 stages；base channels 32/64</w:t>
            </w:r>
          </w:p>
        </w:tc>
        <w:tc>
          <w:tcPr>
            <w:tcW w:type="dxa" w:w="122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高</w:t>
            </w:r>
          </w:p>
        </w:tc>
      </w:tr>
      <w:tr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S-C 参照</w:t>
            </w:r>
          </w:p>
        </w:tc>
        <w:tc>
          <w:tcPr>
            <w:tcW w:type="dxa" w:w="25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flatten joints [T,J×C]</w:t>
            </w:r>
          </w:p>
        </w:tc>
        <w:tc>
          <w:tcPr>
            <w:tcW w:type="dxa" w:w="17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2 层 BiGRU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hidden 128/256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中</w:t>
            </w:r>
          </w:p>
        </w:tc>
      </w:tr>
      <w:tr>
        <w:tc>
          <w:tcPr>
            <w:tcW w:type="dxa" w:w="158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S-D 后续</w:t>
            </w:r>
          </w:p>
        </w:tc>
        <w:tc>
          <w:tcPr>
            <w:tcW w:type="dxa" w:w="25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pose token / joint token</w:t>
            </w:r>
          </w:p>
        </w:tc>
        <w:tc>
          <w:tcPr>
            <w:tcW w:type="dxa" w:w="1728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Tiny Transformer</w:t>
            </w:r>
          </w:p>
        </w:tc>
        <w:tc>
          <w:tcPr>
            <w:tcW w:type="dxa" w:w="309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2–4 layers；d=128/192；heads 4</w:t>
            </w:r>
          </w:p>
        </w:tc>
        <w:tc>
          <w:tcPr>
            <w:tcW w:type="dxa" w:w="122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中</w:t>
            </w:r>
          </w:p>
        </w:tc>
      </w:tr>
      <w:tr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S-E 规则确认后</w:t>
            </w:r>
          </w:p>
        </w:tc>
        <w:tc>
          <w:tcPr>
            <w:tcW w:type="dxa" w:w="25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骨架图 + 时间</w:t>
            </w:r>
          </w:p>
        </w:tc>
        <w:tc>
          <w:tcPr>
            <w:tcW w:type="dxa" w:w="17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轻量 ST-GCN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3–6 blocks；channels 32–128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后续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/>
        </w:rPr>
        <w:t>6. Radar：点检测序列基线</w:t>
      </w:r>
    </w:p>
    <w:p>
      <w:pPr>
        <w:pStyle w:val="Heading2"/>
        <w:keepNext/>
      </w:pPr>
      <w:r>
        <w:rPr>
          <w:rFonts w:ascii="Noto Sans CJK SC" w:hAnsi="Noto Sans CJK SC"/>
        </w:rPr>
        <w:t>6.1 已知字段与输入解释</w:t>
      </w:r>
    </w:p>
    <w:p>
      <w:pPr>
        <w:pStyle w:val="CodeBlock"/>
        <w:keepLines/>
      </w:pPr>
      <w:r>
        <w:rPr>
          <w:rFonts w:ascii="Noto Sans Mono CJK SC" w:hAnsi="Noto Sans Mono CJK SC"/>
          <w:color w:val="333333"/>
          <w:sz w:val="18"/>
        </w:rPr>
        <w:t>timestamp, frame, DetObj#, x, y, z, v, snr, noise</w:t>
      </w:r>
    </w:p>
    <w:p>
      <w:r>
        <w:rPr>
          <w:rFonts w:ascii="Noto Sans CJK SC" w:hAnsi="Noto Sans CJK SC"/>
          <w:sz w:val="21"/>
        </w:rPr>
        <w:t>当前首轮按照“每个 frame 是一个变长点集、整个 trial 是帧序列”的方式建模。不要寻找未提供的 intensity 字段；Range-Doppler 路线只有在确认存在原始或可重建 RD map 时才启用。</w:t>
      </w:r>
    </w:p>
    <w:p>
      <w:pPr>
        <w:pStyle w:val="Heading2"/>
        <w:keepNext/>
      </w:pPr>
      <w:r>
        <w:rPr>
          <w:rFonts w:ascii="Noto Sans CJK SC" w:hAnsi="Noto Sans CJK SC"/>
        </w:rPr>
        <w:t>6.2 Radar 候选模型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路线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输入表示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结构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建议参数</w:t>
            </w:r>
          </w:p>
        </w:tc>
        <w:tc>
          <w:tcPr>
            <w:tcW w:type="dxa" w:w="18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5"/>
              </w:rPr>
              <w:t>优先级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R-A 统计序列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每帧点数、x/y/z/v/snr/noise 的均值、标准差、范围等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每帧统计特征 + TCN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32/48 帧；20–50 维统计特征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最高；最稳第一版</w:t>
            </w:r>
          </w:p>
        </w:tc>
      </w:tr>
      <w:tr>
        <w:tc>
          <w:tcPr>
            <w:tcW w:type="dxa" w:w="165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R-B PointNet+TCN</w:t>
            </w:r>
          </w:p>
        </w:tc>
        <w:tc>
          <w:tcPr>
            <w:tcW w:type="dxa" w:w="302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每点 [x,y,z,v,snr,noise]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共享 MLP + mean/max pool + TCN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每帧 64/128 点；frame emb 128</w:t>
            </w:r>
          </w:p>
        </w:tc>
        <w:tc>
          <w:tcPr>
            <w:tcW w:type="dxa" w:w="180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高；保留点级结构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R-C BEV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点云栅格化空间图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小型 2D CNN + temporal pool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32–64 grid；8/16 帧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后续；预处理敏感</w:t>
            </w:r>
          </w:p>
        </w:tc>
      </w:tr>
      <w:tr>
        <w:tc>
          <w:tcPr>
            <w:tcW w:type="dxa" w:w="165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R-D Range-Doppler</w:t>
            </w:r>
          </w:p>
        </w:tc>
        <w:tc>
          <w:tcPr>
            <w:tcW w:type="dxa" w:w="302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仅当数据确实提供 RD map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2D/3D CNN</w:t>
            </w:r>
          </w:p>
        </w:tc>
        <w:tc>
          <w:tcPr>
            <w:tcW w:type="dxa" w:w="2232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按实际数据决定</w:t>
            </w:r>
          </w:p>
        </w:tc>
        <w:tc>
          <w:tcPr>
            <w:tcW w:type="dxa" w:w="180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5"/>
              </w:rPr>
              <w:t>当前不执行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/>
        </w:rPr>
        <w:t>6.3 R-A 每帧统计建议</w:t>
      </w:r>
    </w:p>
    <w:p>
      <w:pPr>
        <w:pStyle w:val="ListBullet"/>
        <w:spacing w:after="40"/>
      </w:pPr>
      <w:r>
        <w:rPr>
          <w:rFonts w:ascii="Noto Sans CJK SC" w:hAnsi="Noto Sans CJK SC"/>
        </w:rPr>
        <w:t>检测点数量。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x、y、z 的均值、标准差、最小值、最大值和范围。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速度 v 的均值、标准差、绝对值均值和极值。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snr、noise 的均值与标准差。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空帧使用零向量并设置 temporal_mask，不把空帧拆成独立样本。</w:t>
      </w:r>
    </w:p>
    <w:p>
      <w:pPr>
        <w:pStyle w:val="Heading1"/>
        <w:keepNext/>
      </w:pPr>
      <w:r>
        <w:rPr>
          <w:rFonts w:ascii="Noto Sans CJK SC" w:hAnsi="Noto Sans CJK SC"/>
        </w:rPr>
        <w:t>7. 单模态候选优先级矩阵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模态</w:t>
            </w:r>
          </w:p>
        </w:tc>
        <w:tc>
          <w:tcPr>
            <w:tcW w:type="dxa" w:w="266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必须完成 A</w:t>
            </w:r>
          </w:p>
        </w:tc>
        <w:tc>
          <w:tcPr>
            <w:tcW w:type="dxa" w:w="30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建议完成 B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有余力完成 C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Depth_Color</w:t>
            </w:r>
          </w:p>
        </w:tc>
        <w:tc>
          <w:tcPr>
            <w:tcW w:type="dxa" w:w="26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MobileNetV3-S + mean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EffNet-B0 + mean / TCN</w:t>
            </w:r>
          </w:p>
        </w:tc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Tiny Transformer / 轻量 3D CNN</w:t>
            </w:r>
          </w:p>
        </w:tc>
      </w:tr>
      <w:tr>
        <w:tc>
          <w:tcPr>
            <w:tcW w:type="dxa" w:w="165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IR</w:t>
            </w:r>
          </w:p>
        </w:tc>
        <w:tc>
          <w:tcPr>
            <w:tcW w:type="dxa" w:w="266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MobileNetV3-S + mean</w:t>
            </w:r>
          </w:p>
        </w:tc>
        <w:tc>
          <w:tcPr>
            <w:tcW w:type="dxa" w:w="309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EffNet-B0 + mean+max</w:t>
            </w:r>
          </w:p>
        </w:tc>
        <w:tc>
          <w:tcPr>
            <w:tcW w:type="dxa" w:w="288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TCN / GRU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Thermal</w:t>
            </w:r>
          </w:p>
        </w:tc>
        <w:tc>
          <w:tcPr>
            <w:tcW w:type="dxa" w:w="26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MobileNetV3-S + mean（RGB）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EffNet-B0 + mean / TCN</w:t>
            </w:r>
          </w:p>
        </w:tc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Tiny Transformer</w:t>
            </w:r>
          </w:p>
        </w:tc>
      </w:tr>
      <w:tr>
        <w:tc>
          <w:tcPr>
            <w:tcW w:type="dxa" w:w="165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IMU</w:t>
            </w:r>
          </w:p>
        </w:tc>
        <w:tc>
          <w:tcPr>
            <w:tcW w:type="dxa" w:w="266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TCN / ResNet1D</w:t>
            </w:r>
          </w:p>
        </w:tc>
        <w:tc>
          <w:tcPr>
            <w:tcW w:type="dxa" w:w="309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InceptionTime 或双分支 TCN</w:t>
            </w:r>
          </w:p>
        </w:tc>
        <w:tc>
          <w:tcPr>
            <w:tcW w:type="dxa" w:w="288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BiGRU / Tiny Transformer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Radar</w:t>
            </w:r>
          </w:p>
        </w:tc>
        <w:tc>
          <w:tcPr>
            <w:tcW w:type="dxa" w:w="26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统计序列 + TCN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PointNet + TCN</w:t>
            </w:r>
          </w:p>
        </w:tc>
        <w:tc>
          <w:tcPr>
            <w:tcW w:type="dxa" w:w="28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BEV；RD 暂不执行</w:t>
            </w:r>
          </w:p>
        </w:tc>
      </w:tr>
      <w:tr>
        <w:tc>
          <w:tcPr>
            <w:tcW w:type="dxa" w:w="165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Skeleton</w:t>
            </w:r>
          </w:p>
        </w:tc>
        <w:tc>
          <w:tcPr>
            <w:tcW w:type="dxa" w:w="2664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root+velocity TCN</w:t>
            </w:r>
          </w:p>
        </w:tc>
        <w:tc>
          <w:tcPr>
            <w:tcW w:type="dxa" w:w="3096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2D CNN joint-time map</w:t>
            </w:r>
          </w:p>
        </w:tc>
        <w:tc>
          <w:tcPr>
            <w:tcW w:type="dxa" w:w="288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Tiny Transformer / ST-GCN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/>
        </w:rPr>
        <w:t>8. 单模态训练执行清单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所有实验读取同一份 metadata/manifest.csv 和 metadata/splits/fold_0.json。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每个模态只筛选自己的路径列非空样本，不强制限制在六模态交集。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训练用户和验证用户严格来自 fold_0.json，不重新随机划分。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标准化统计仅由训练用户计算。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每个模态至少完成一个 CNN/TCN 型稳定方案；RNN/Transformer 作为对照。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记录当前模态实际 train_sample_count 和 val_sample_count。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保存 best_model.pt、config.yaml、metrics.json 和 history.csv。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保存带 sample_id 的 fold_0 验证 logits、embedding 和真实标签。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输出 Accuracy、Macro-F1、混淆矩阵和 per-class recall。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记录参数量、FP32 checkpoint 大小、单样本推理时间和显存。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验证输出不出现 NaN/Inf；变长序列 padding 与 temporal_mask 一致。</w:t>
      </w:r>
    </w:p>
    <w:p>
      <w:r>
        <w:rPr>
          <w:rFonts w:ascii="Noto Sans CJK SC" w:hAnsi="Noto Sans CJK SC"/>
          <w:b/>
          <w:color w:val="2E7D32"/>
          <w:sz w:val="21"/>
        </w:rPr>
        <w:t xml:space="preserve">□ </w:t>
      </w:r>
      <w:r>
        <w:rPr>
          <w:rFonts w:ascii="Noto Sans CJK SC" w:hAnsi="Noto Sans CJK SC"/>
          <w:sz w:val="21"/>
        </w:rPr>
        <w:t>当前阶段不读取测试集、不生成提交文件、不声称完成 OOF。</w:t>
      </w:r>
    </w:p>
    <w:p>
      <w:pPr>
        <w:pStyle w:val="Heading1"/>
        <w:keepNext/>
      </w:pPr>
      <w:r>
        <w:rPr>
          <w:rFonts w:ascii="Noto Sans CJK SC" w:hAnsi="Noto Sans CJK SC"/>
        </w:rPr>
        <w:t>9. 阶段通过门槛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E2F0D9"/>
              <w:left w:val="single" w:sz="4" w:color="E2F0D9"/>
              <w:bottom w:val="single" w:sz="4" w:color="E2F0D9"/>
              <w:right w:val="single" w:sz="4" w:color="E2F0D9"/>
            </w:tcBorders>
          </w:tcPr>
          <w:p>
            <w:pPr>
              <w:spacing w:after="0"/>
            </w:pPr>
            <w:r>
              <w:rPr>
                <w:rFonts w:ascii="Noto Sans CJK SC" w:hAnsi="Noto Sans CJK SC"/>
                <w:b/>
                <w:color w:val="2E7D32"/>
                <w:sz w:val="21"/>
              </w:rPr>
              <w:t xml:space="preserve">本阶段通过门槛  </w:t>
            </w:r>
            <w:r>
              <w:rPr>
                <w:rFonts w:ascii="Noto Sans CJK SC" w:hAnsi="Noto Sans CJK SC"/>
                <w:color w:val="222222"/>
                <w:sz w:val="21"/>
              </w:rPr>
              <w:t>六种模态各至少完成一个 fold_0 基础模型，能够完整训练并保存最优权重；每个模型必须输出带 sample_id 的验证集 logits 和 embedding，并记录 Accuracy、Macro-F1、模型大小和推理成本。根据 fold_0 结果，每个模态保留 1–2 个候选。完整三折验证和 OOF 在候选结构稳定后再执行。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79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/>
                <w:b/>
                <w:color w:val="FFFFFF"/>
                <w:sz w:val="17"/>
              </w:rPr>
              <w:t>通过条件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数据读取</w:t>
            </w:r>
          </w:p>
        </w:tc>
        <w:tc>
          <w:tcPr>
            <w:tcW w:type="dxa" w:w="79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manifest 与 fold_0 读取正确，当前模态 path 过滤正确</w:t>
            </w:r>
          </w:p>
        </w:tc>
      </w:tr>
      <w:tr>
        <w:tc>
          <w:tcPr>
            <w:tcW w:type="dxa" w:w="216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用户隔离</w:t>
            </w:r>
          </w:p>
        </w:tc>
        <w:tc>
          <w:tcPr>
            <w:tcW w:type="dxa" w:w="79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训练与验证用户无交集，验证用户与 fold_0.json 一致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模型训练</w:t>
            </w:r>
          </w:p>
        </w:tc>
        <w:tc>
          <w:tcPr>
            <w:tcW w:type="dxa" w:w="79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至少一个方案完成训练并保存最佳 checkpoint</w:t>
            </w:r>
          </w:p>
        </w:tc>
      </w:tr>
      <w:tr>
        <w:tc>
          <w:tcPr>
            <w:tcW w:type="dxa" w:w="216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验证输出</w:t>
            </w:r>
          </w:p>
        </w:tc>
        <w:tc>
          <w:tcPr>
            <w:tcW w:type="dxa" w:w="79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sample_ids、labels、logits、embeddings 数量完全一致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性能报告</w:t>
            </w:r>
          </w:p>
        </w:tc>
        <w:tc>
          <w:tcPr>
            <w:tcW w:type="dxa" w:w="79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Accuracy、Macro-F1、混淆矩阵、per-class recall 完整</w:t>
            </w:r>
          </w:p>
        </w:tc>
      </w:tr>
      <w:tr>
        <w:tc>
          <w:tcPr>
            <w:tcW w:type="dxa" w:w="216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成本报告</w:t>
            </w:r>
          </w:p>
        </w:tc>
        <w:tc>
          <w:tcPr>
            <w:tcW w:type="dxa" w:w="7920"/>
            <w:shd w:fill="F8FBFD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参数量、模型大小、推理延迟和显存有记录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候选筛选</w:t>
            </w:r>
          </w:p>
        </w:tc>
        <w:tc>
          <w:tcPr>
            <w:tcW w:type="dxa" w:w="792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color w:val="222222"/>
                <w:sz w:val="17"/>
              </w:rPr>
              <w:t>每个模态明确保留 1–2 个模型及保留理由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/>
        </w:rPr>
        <w:t>10. 与后续阶段的衔接</w:t>
      </w:r>
    </w:p>
    <w:p>
      <w:pPr>
        <w:pStyle w:val="ListBullet"/>
        <w:spacing w:after="40"/>
      </w:pPr>
      <w:r>
        <w:rPr>
          <w:rFonts w:ascii="Noto Sans CJK SC" w:hAnsi="Noto Sans CJK SC"/>
        </w:rPr>
        <w:t>阶段 04 晚期融合：直接读取六个候选模型的 fold_0_val_predictions.npz，通过 sample_id 对齐共同验证样本。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阶段 05 中期融合：复用单模态 encoder 与统一 128/256 维 embedding。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阶段 06 时间对齐：只在单模态基线稳定后，进一步处理跨模态时间尺度差异。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阶段 08 轻量化：依据当前记录的参数量、checkpoint 大小和延迟分配总预算。</w:t>
      </w:r>
    </w:p>
    <w:p>
      <w:pPr>
        <w:pStyle w:val="ListBullet"/>
        <w:spacing w:after="40"/>
      </w:pPr>
      <w:r>
        <w:rPr>
          <w:rFonts w:ascii="Noto Sans CJK SC" w:hAnsi="Noto Sans CJK SC"/>
        </w:rPr>
        <w:t>后续新增 fold_1、fold_2 后，再对最终候选做三折验证并合并完整 OOF。</w:t>
      </w:r>
    </w:p>
    <w:p>
      <w:pPr>
        <w:pStyle w:val="Heading1"/>
        <w:keepNext/>
      </w:pPr>
      <w:r>
        <w:rPr>
          <w:rFonts w:ascii="Noto Sans CJK SC" w:hAnsi="Noto Sans CJK SC"/>
        </w:rPr>
        <w:t>参考与当前工程依据</w:t>
      </w:r>
    </w:p>
    <w:p>
      <w:r>
        <w:rPr>
          <w:rFonts w:ascii="Noto Sans CJK SC" w:hAnsi="Noto Sans CJK SC"/>
          <w:sz w:val="21"/>
        </w:rPr>
        <w:t>本版本依据当前仓库中已完成的任务 01 输出进行修订：</w:t>
      </w:r>
    </w:p>
    <w:p>
      <w:pPr>
        <w:pStyle w:val="ListBullet"/>
        <w:spacing w:after="40"/>
      </w:pPr>
      <w:r>
        <w:rPr>
          <w:rFonts w:ascii="Noto Sans CJK SC" w:hAnsi="Noto Sans CJK SC"/>
        </w:rPr>
        <w:t>scripts/prepare_task01.py</w:t>
      </w:r>
    </w:p>
    <w:p>
      <w:pPr>
        <w:pStyle w:val="ListBullet"/>
        <w:spacing w:after="40"/>
      </w:pPr>
      <w:r>
        <w:rPr>
          <w:rFonts w:ascii="Noto Sans CJK SC" w:hAnsi="Noto Sans CJK SC"/>
        </w:rPr>
        <w:t>metadata/manifest.csv</w:t>
      </w:r>
    </w:p>
    <w:p>
      <w:pPr>
        <w:pStyle w:val="ListBullet"/>
        <w:spacing w:after="40"/>
      </w:pPr>
      <w:r>
        <w:rPr>
          <w:rFonts w:ascii="Noto Sans CJK SC" w:hAnsi="Noto Sans CJK SC"/>
        </w:rPr>
        <w:t>metadata/splits/fold_0.json</w:t>
      </w:r>
    </w:p>
    <w:p>
      <w:r>
        <w:rPr>
          <w:rFonts w:ascii="Noto Sans CJK SC" w:hAnsi="Noto Sans CJK SC"/>
          <w:sz w:val="21"/>
        </w:rPr>
        <w:t>模型候选和参数范围属于项目实验建议，最终保留方案以本地 fold_0 验证表现、成本和后续融合互补性为准。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