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75466" w14:textId="4C4970D9" w:rsidR="008C24D2" w:rsidRDefault="003717A3">
      <w:pPr>
        <w:rPr>
          <w:rFonts w:hint="eastAsia"/>
        </w:rPr>
      </w:pPr>
      <w:r w:rsidRPr="003717A3">
        <w:t>Reviewers' comments:</w:t>
      </w:r>
      <w:r w:rsidRPr="003717A3">
        <w:br/>
      </w:r>
      <w:r w:rsidRPr="003717A3">
        <w:br/>
        <w:t>Although the problems being addressed are potentially of interest to our readership, your manuscript does not meet the required quality standards to be considered for publication.</w:t>
      </w:r>
      <w:r w:rsidRPr="003717A3">
        <w:br/>
      </w:r>
      <w:r w:rsidRPr="003717A3">
        <w:br/>
      </w:r>
      <w:r w:rsidRPr="003717A3">
        <w:br/>
        <w:t>Reviewer #1: This manuscript addresses an important and timely topic by linking energy transition resilience, crisis shocks, and policy diagnostics in ASEAN-6. However, several key issues remain regarding conceptual boundaries, index construction, stage identification, and the interpretation of results. Therefore, the manuscript is recommended for major revision.</w:t>
      </w:r>
      <w:r w:rsidRPr="003717A3">
        <w:br/>
        <w:t>1. In section 3.2, the index of ETRI includes variables such as access to electricity, inflation, government expenditure, GDP per capita, renewable energy shares, carbon intensity, and internet use, which seems to be closely related to the long-term development level and the macroeconomic situation, rather than being a direct measure of the energy transitions under crisis. It is suggested that the author provide further clarification on which indicators represent the pre-crisis buffers, which capture crisis-period transition governance, and which mainly reflect long-run structural conditions. In the main text, it is necessary to clearly distinguish between resilience maintenance and structural improvement.</w:t>
      </w:r>
      <w:r w:rsidRPr="003717A3">
        <w:br/>
        <w:t>2. The author constructed ETRI using equal-weighted averaging of four primary dimensions. However, in a sample with a small number of countries, limited years, and strong structural heterogeneity, the robustness argument is still insufficient.</w:t>
      </w:r>
      <w:r w:rsidRPr="003717A3">
        <w:br/>
        <w:t>3. The design of the non-overlap specification is commendable, but it will lead to a problem of inconsistent measurement standards between descriptive analysis and regression analysis. More clear handling is required.</w:t>
      </w:r>
      <w:r w:rsidRPr="003717A3">
        <w:br/>
        <w:t>4. The division of the crisis stage and the setting of the benchmark period are reasonably reasonable, but the current argument at the identification level is still somewhat insufficient. Since the price shock occurred before the pandemic had fully recovered, the changes in 2022-2023 are likely to include multiple factors such as post-pandemic recovery, base period rebound, external price transmission, and domestic policy adjustments. It is recommended that the author further explain the logic of this stage division and briefly present the comparative logic from the COVID stage to the price shock stage in the main text, rather than mainly focusing on the supplementary materials.</w:t>
      </w:r>
      <w:r w:rsidRPr="003717A3">
        <w:br/>
      </w:r>
      <w:r w:rsidRPr="003717A3">
        <w:br/>
      </w:r>
      <w:r w:rsidRPr="003717A3">
        <w:br/>
      </w:r>
      <w:r w:rsidRPr="003717A3">
        <w:lastRenderedPageBreak/>
        <w:t>Reviewer #2: This paper takes the six ASEAN countries as the research object, constructs an Energy Transition Resilience Index, and conducts stress tests incorporating two successive shocks to explore the evolution characteristics, constraining dimensions, and functional differences of policy instruments affecting energy transition resilience under crises. The topic is closely aligned with real-world issues in energy development. However, the manuscript exhibits several critical problems in conceptualization, methodology, statistical inference, and academic writing, as follows:</w:t>
      </w:r>
      <w:r w:rsidRPr="003717A3">
        <w:br/>
      </w:r>
      <w:r w:rsidRPr="003717A3">
        <w:br/>
        <w:t>1. The manuscript has a major conceptual problem in its understanding of resilience. The proposed measurement is essentially a static indicator-based assessment. Although the authors consider two external shocks, the ETRI values before and after these shocks do not, by themselves, reveal whether resilience is strong or weak.</w:t>
      </w:r>
      <w:r w:rsidRPr="003717A3">
        <w:br/>
        <w:t>The reason is that the ETRI is more accurately a static measure of the "quality" or "performance" of energy transition conditions. If the ETRI declines under an external shock, this only shows a change in the absolute value of the index. We do not naturally know what magnitude of decline corresponds to a high or low level of resilience. For example, during the COVID-19 shock, a decline in ETRI may be inevitable because the external environment has worsened. However, this does not necessarily mean that the system has weak resilience, because even a highly resilient country may still experience a decline in ETRI when facing a severe external shock.</w:t>
      </w:r>
      <w:r w:rsidRPr="003717A3">
        <w:br/>
        <w:t>More fundamentally, if the role of external shocks is taken seriously, resilience should be understood as an intrinsic capacity measured over the whole shock-response process. In principle, before and after the shock, the system's resilience capacity should refer to the same underlying level, unless learning or adaptive improvement is explicitly considered. It should not be measured as a value that is high before the shock and low after the shock simply because the observed transition indicators have deteriorated. Therefore, the manuscript needs to clarify the conceptual difference between transition performance, crisis-period outcomes, and resilience itself. Otherwise, the current ETRI-based approach risks measuring changes in energy transition performance under crisis rather than resilience in a theoretically meaningful sense.</w:t>
      </w:r>
      <w:r w:rsidRPr="003717A3">
        <w:br/>
      </w:r>
      <w:r w:rsidRPr="003717A3">
        <w:br/>
        <w:t>2. The paper simply distinguishes between energy transition resilience and traditional energy system resilience at a conceptual level. However, it lacks detailed comparisons at the measurement level. It's recommended to add a comparison between ETRI and existing resilience indicator systems to highlight the innovation.</w:t>
      </w:r>
      <w:r w:rsidRPr="003717A3">
        <w:br/>
      </w:r>
      <w:r w:rsidRPr="003717A3">
        <w:br/>
        <w:t xml:space="preserve">3. The non-overlap specification in Section 3.4 causes some dimensions to degenerate, rendering their meaning extremely thin. The authors lack a justification for the </w:t>
      </w:r>
      <w:r w:rsidRPr="003717A3">
        <w:lastRenderedPageBreak/>
        <w:t xml:space="preserve">appropriateness of the non-overlap specification. The AFF_NO variable originally contained three indicators: Inflation, </w:t>
      </w:r>
      <w:proofErr w:type="spellStart"/>
      <w:r w:rsidRPr="003717A3">
        <w:t>GovExp</w:t>
      </w:r>
      <w:proofErr w:type="spellEnd"/>
      <w:r w:rsidRPr="003717A3">
        <w:t xml:space="preserve">, and </w:t>
      </w:r>
      <w:proofErr w:type="spellStart"/>
      <w:r w:rsidRPr="003717A3">
        <w:t>lnGDPpc</w:t>
      </w:r>
      <w:proofErr w:type="spellEnd"/>
      <w:r w:rsidRPr="003717A3">
        <w:t xml:space="preserve">. After excluding </w:t>
      </w:r>
      <w:proofErr w:type="spellStart"/>
      <w:r w:rsidRPr="003717A3">
        <w:t>GovExp</w:t>
      </w:r>
      <w:proofErr w:type="spellEnd"/>
      <w:r w:rsidRPr="003717A3">
        <w:t xml:space="preserve"> and </w:t>
      </w:r>
      <w:proofErr w:type="spellStart"/>
      <w:r w:rsidRPr="003717A3">
        <w:t>lnGDPpc</w:t>
      </w:r>
      <w:proofErr w:type="spellEnd"/>
      <w:r w:rsidRPr="003717A3">
        <w:t>, only Inflation remains. The dimension of affordability and macroeconomic buffer whose sole indicator is the inflation rate can no longer reflect its original conceptual meaning. The authors' claim that the modification was made "...without changing the conceptual meaning of the ETRI" cannot be sustained given the lack of adequate theoretical justification for the dimensional structure.</w:t>
      </w:r>
      <w:r w:rsidRPr="003717A3">
        <w:br/>
      </w:r>
      <w:r w:rsidRPr="003717A3">
        <w:br/>
        <w:t>4. The mechanism explanation for the buffer variables is insufficient. The buffer variables serve as the core explanatory variables in this paper, but the elaboration of their mechanism of action is rather weak. The content in the "Intended channel" column of Table 2 is overly simplified and fails to provide an adequate mechanistic account of how the buffer variables affect resilience.</w:t>
      </w:r>
      <w:r w:rsidRPr="003717A3">
        <w:br/>
      </w:r>
      <w:r w:rsidRPr="003717A3">
        <w:br/>
        <w:t>5. section 3.6, 4.4, especially Table 6 and Fig. 4: The empirical analysis is based on only six ASEAN countries, and the stage-level crisis-maintenance regressions therefore have very limited statistical power. The manuscript should further temper the interpretation of these results and present them more clearly as diagnostic associations rather than robust statistical evidence. Also, the policy variables are grouped into broad functional categories and coded mainly as annual binary indicators or stage-intensity counts, but they cannot capture differences in policy scale, duration, coverage, fiscal cost, targeting, or implementation strength.</w:t>
      </w:r>
      <w:r w:rsidRPr="003717A3">
        <w:br/>
      </w:r>
      <w:r w:rsidRPr="003717A3">
        <w:br/>
        <w:t>6. Table 6 reports country-level cross-sectional regressions for a single crisis phase with a sample of only six countries. The 95% confidence intervals for price exposure and price-cushioning policy are noticeably narrower than those for the other three estimates. Is this an anomalous result? Moreover, the heteroskedasticity-robust standard errors (HC1) used in Table 6 and Table S7 need to be corrected to account for the small sample situation.</w:t>
      </w:r>
      <w:r w:rsidRPr="003717A3">
        <w:br/>
      </w:r>
      <w:r w:rsidRPr="003717A3">
        <w:br/>
      </w:r>
      <w:r w:rsidRPr="003717A3">
        <w:br/>
      </w:r>
      <w:r w:rsidRPr="003717A3">
        <w:br/>
        <w:t>Reviewer #4: Resilience and sustainability in energy transitions are pivotal themes for future energy research. This study takes the ASEAN countries as a case and examines the evolution of energy transition pathways under the dual pressures of the post</w:t>
      </w:r>
      <w:r w:rsidRPr="003717A3">
        <w:noBreakHyphen/>
        <w:t xml:space="preserve">pandemic era and the global energy price crisis. The paper presents a clear analytical framework and demonstrates some methodological innovation. However, several issues require careful revision before the manuscript can be considered for </w:t>
      </w:r>
      <w:r w:rsidRPr="003717A3">
        <w:lastRenderedPageBreak/>
        <w:t>publication:</w:t>
      </w:r>
      <w:r w:rsidRPr="003717A3">
        <w:br/>
        <w:t>(1) Justification of case selection. The typicality of the selected cases is essential for empirical research. The authors currently offer only a brief justification for the distinctiveness of the six ASEAN countries in the second paragraph of the Introduction, which remains somewhat weak. It is recommended to supplement this with more detailed energy</w:t>
      </w:r>
      <w:r w:rsidRPr="003717A3">
        <w:noBreakHyphen/>
        <w:t>related background information to better establish the necessity and significance of the study.</w:t>
      </w:r>
      <w:r w:rsidRPr="003717A3">
        <w:br/>
        <w:t>(2) Clarification of the buffer</w:t>
      </w:r>
      <w:r w:rsidRPr="003717A3">
        <w:noBreakHyphen/>
        <w:t>resilience relationship. The authors should more fully articulate the logical connection between "buffers" and "resilience." Some indicators appear to overlap conceptually with the resilience dimensions themselves. For example, the use of government expenditure and GDP per capita to construct a "social/fiscal buffer" may already be part of the resilience construct, creating a tautological concern. Even though the authors attempt to address this through non</w:t>
      </w:r>
      <w:r w:rsidRPr="003717A3">
        <w:noBreakHyphen/>
        <w:t>overlap exclusions, the conceptual distinction remains unclear when this buffer is regressed on the Affordability (AFF) dimension.</w:t>
      </w:r>
      <w:r w:rsidRPr="003717A3">
        <w:br/>
        <w:t>(3) Differentiation from existing indices. In Section 3.2, beyond the current description, the paper should more explicitly highlight how the selected indicators differ from established Energy Transition Index (ETI) frameworks. In particular, the authors should clarify which indicators are tailored to the specific crisis</w:t>
      </w:r>
      <w:r w:rsidRPr="003717A3">
        <w:noBreakHyphen/>
        <w:t>context of this study—this is a key component of the paper's theoretical contribution.</w:t>
      </w:r>
      <w:r w:rsidRPr="003717A3">
        <w:br/>
        <w:t>(4) Caution in statistical inference. With only six countries in the sample, the dataset is extremely limited, which constrains the credibility of conventional statistical analyses. The authors must exercise considerable caution in offering causal interpretations based on statistical significance. Regression results should be downplayed to a supplementary, exploratory, or diagnostic role rather than treated as confirmatory evidence.</w:t>
      </w:r>
      <w:r w:rsidRPr="003717A3">
        <w:br/>
        <w:t>(5) As an extension of the previous point, the methodology section is overly lengthy, yet the credibility of the results is questionable due to data limitations. It is advisable to shorten this section.</w:t>
      </w:r>
      <w:r w:rsidRPr="003717A3">
        <w:br/>
        <w:t>(6) Deepening the policy</w:t>
      </w:r>
      <w:r w:rsidRPr="003717A3">
        <w:noBreakHyphen/>
        <w:t>mix discussion. The Introduction and literature review refer to policy mixes, yet the empirical analysis reduces these to only two broad categories—"price cushioning" and "transition continuity"—which is overly simplistic. In the Discussion, the authors should more thoroughly explore why and how different policy instruments align with different resilience dimensions, and what this implies for policy design under crisis conditions.</w:t>
      </w:r>
      <w:r w:rsidRPr="003717A3">
        <w:br/>
        <w:t>(7) Professional language polishing. The manuscript would benefit from professional English language editing. There are numerous overly long and complex sentences (for instance, the first sentence of the abstract) that impair readability and clarity.</w:t>
      </w:r>
    </w:p>
    <w:sectPr w:rsidR="008C24D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7A3"/>
    <w:rsid w:val="003717A3"/>
    <w:rsid w:val="00765363"/>
    <w:rsid w:val="008772E0"/>
    <w:rsid w:val="008C2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020D"/>
  <w15:chartTrackingRefBased/>
  <w15:docId w15:val="{E815F203-2AF7-4061-A0D1-7FDDFCD7A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717A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717A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717A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717A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717A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717A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717A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717A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717A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717A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717A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717A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717A3"/>
    <w:rPr>
      <w:rFonts w:cstheme="majorBidi"/>
      <w:color w:val="0F4761" w:themeColor="accent1" w:themeShade="BF"/>
      <w:sz w:val="28"/>
      <w:szCs w:val="28"/>
    </w:rPr>
  </w:style>
  <w:style w:type="character" w:customStyle="1" w:styleId="50">
    <w:name w:val="标题 5 字符"/>
    <w:basedOn w:val="a0"/>
    <w:link w:val="5"/>
    <w:uiPriority w:val="9"/>
    <w:semiHidden/>
    <w:rsid w:val="003717A3"/>
    <w:rPr>
      <w:rFonts w:cstheme="majorBidi"/>
      <w:color w:val="0F4761" w:themeColor="accent1" w:themeShade="BF"/>
      <w:sz w:val="24"/>
    </w:rPr>
  </w:style>
  <w:style w:type="character" w:customStyle="1" w:styleId="60">
    <w:name w:val="标题 6 字符"/>
    <w:basedOn w:val="a0"/>
    <w:link w:val="6"/>
    <w:uiPriority w:val="9"/>
    <w:semiHidden/>
    <w:rsid w:val="003717A3"/>
    <w:rPr>
      <w:rFonts w:cstheme="majorBidi"/>
      <w:b/>
      <w:bCs/>
      <w:color w:val="0F4761" w:themeColor="accent1" w:themeShade="BF"/>
    </w:rPr>
  </w:style>
  <w:style w:type="character" w:customStyle="1" w:styleId="70">
    <w:name w:val="标题 7 字符"/>
    <w:basedOn w:val="a0"/>
    <w:link w:val="7"/>
    <w:uiPriority w:val="9"/>
    <w:semiHidden/>
    <w:rsid w:val="003717A3"/>
    <w:rPr>
      <w:rFonts w:cstheme="majorBidi"/>
      <w:b/>
      <w:bCs/>
      <w:color w:val="595959" w:themeColor="text1" w:themeTint="A6"/>
    </w:rPr>
  </w:style>
  <w:style w:type="character" w:customStyle="1" w:styleId="80">
    <w:name w:val="标题 8 字符"/>
    <w:basedOn w:val="a0"/>
    <w:link w:val="8"/>
    <w:uiPriority w:val="9"/>
    <w:semiHidden/>
    <w:rsid w:val="003717A3"/>
    <w:rPr>
      <w:rFonts w:cstheme="majorBidi"/>
      <w:color w:val="595959" w:themeColor="text1" w:themeTint="A6"/>
    </w:rPr>
  </w:style>
  <w:style w:type="character" w:customStyle="1" w:styleId="90">
    <w:name w:val="标题 9 字符"/>
    <w:basedOn w:val="a0"/>
    <w:link w:val="9"/>
    <w:uiPriority w:val="9"/>
    <w:semiHidden/>
    <w:rsid w:val="003717A3"/>
    <w:rPr>
      <w:rFonts w:eastAsiaTheme="majorEastAsia" w:cstheme="majorBidi"/>
      <w:color w:val="595959" w:themeColor="text1" w:themeTint="A6"/>
    </w:rPr>
  </w:style>
  <w:style w:type="paragraph" w:styleId="a3">
    <w:name w:val="Title"/>
    <w:basedOn w:val="a"/>
    <w:next w:val="a"/>
    <w:link w:val="a4"/>
    <w:uiPriority w:val="10"/>
    <w:qFormat/>
    <w:rsid w:val="003717A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717A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717A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717A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717A3"/>
    <w:pPr>
      <w:spacing w:before="160"/>
      <w:jc w:val="center"/>
    </w:pPr>
    <w:rPr>
      <w:i/>
      <w:iCs/>
      <w:color w:val="404040" w:themeColor="text1" w:themeTint="BF"/>
    </w:rPr>
  </w:style>
  <w:style w:type="character" w:customStyle="1" w:styleId="a8">
    <w:name w:val="引用 字符"/>
    <w:basedOn w:val="a0"/>
    <w:link w:val="a7"/>
    <w:uiPriority w:val="29"/>
    <w:rsid w:val="003717A3"/>
    <w:rPr>
      <w:i/>
      <w:iCs/>
      <w:color w:val="404040" w:themeColor="text1" w:themeTint="BF"/>
    </w:rPr>
  </w:style>
  <w:style w:type="paragraph" w:styleId="a9">
    <w:name w:val="List Paragraph"/>
    <w:basedOn w:val="a"/>
    <w:uiPriority w:val="34"/>
    <w:qFormat/>
    <w:rsid w:val="003717A3"/>
    <w:pPr>
      <w:ind w:left="720"/>
      <w:contextualSpacing/>
    </w:pPr>
  </w:style>
  <w:style w:type="character" w:styleId="aa">
    <w:name w:val="Intense Emphasis"/>
    <w:basedOn w:val="a0"/>
    <w:uiPriority w:val="21"/>
    <w:qFormat/>
    <w:rsid w:val="003717A3"/>
    <w:rPr>
      <w:i/>
      <w:iCs/>
      <w:color w:val="0F4761" w:themeColor="accent1" w:themeShade="BF"/>
    </w:rPr>
  </w:style>
  <w:style w:type="paragraph" w:styleId="ab">
    <w:name w:val="Intense Quote"/>
    <w:basedOn w:val="a"/>
    <w:next w:val="a"/>
    <w:link w:val="ac"/>
    <w:uiPriority w:val="30"/>
    <w:qFormat/>
    <w:rsid w:val="00371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717A3"/>
    <w:rPr>
      <w:i/>
      <w:iCs/>
      <w:color w:val="0F4761" w:themeColor="accent1" w:themeShade="BF"/>
    </w:rPr>
  </w:style>
  <w:style w:type="character" w:styleId="ad">
    <w:name w:val="Intense Reference"/>
    <w:basedOn w:val="a0"/>
    <w:uiPriority w:val="32"/>
    <w:qFormat/>
    <w:rsid w:val="003717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1602</Words>
  <Characters>9137</Characters>
  <Application>Microsoft Office Word</Application>
  <DocSecurity>0</DocSecurity>
  <Lines>76</Lines>
  <Paragraphs>21</Paragraphs>
  <ScaleCrop>false</ScaleCrop>
  <Company/>
  <LinksUpToDate>false</LinksUpToDate>
  <CharactersWithSpaces>10718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 Ying Lai</dc:creator>
  <cp:keywords/>
  <dc:description/>
  <cp:lastModifiedBy>Xiao Ying Lai</cp:lastModifiedBy>
  <cp:revision>1</cp:revision>
  <dcterms:created xsi:type="dcterms:W3CDTF">2026-09-10T07:46:00Z</dcterms:created>
  <dcterms:modified xsi:type="dcterms:W3CDTF">2026-09-10T07:47:00Z</dcterms:modified>
</cp:coreProperties>
</file>