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4CB4DD">
      <w:pPr>
        <w:jc w:val="both"/>
        <w:rPr>
          <w:rFonts w:hint="eastAsia" w:ascii="Calibri" w:hAnsi="Calibri" w:eastAsia="宋体" w:cs="Times New Roman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cs="Times New Roman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原稿：                         </w:t>
      </w:r>
      <w:bookmarkStart w:id="0" w:name="_GoBack"/>
      <w:bookmarkEnd w:id="0"/>
      <w:r>
        <w:rPr>
          <w:rFonts w:hint="eastAsia" w:cs="Times New Roman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Calibri" w:hAnsi="Calibri" w:eastAsia="宋体" w:cs="Times New Roman"/>
          <w:b/>
          <w:bCs/>
          <w:color w:val="000000"/>
          <w:kern w:val="0"/>
          <w:sz w:val="21"/>
          <w:szCs w:val="21"/>
          <w:lang w:val="en-US" w:eastAsia="zh-CN" w:bidi="ar"/>
        </w:rPr>
        <w:t>我的AI伙伴</w:t>
      </w:r>
      <w:r>
        <w:rPr>
          <w:rFonts w:hint="eastAsia" w:cs="Times New Roman"/>
          <w:b/>
          <w:bCs/>
          <w:color w:val="000000"/>
          <w:kern w:val="0"/>
          <w:sz w:val="21"/>
          <w:szCs w:val="21"/>
          <w:lang w:val="en-US" w:eastAsia="zh-CN" w:bidi="ar"/>
        </w:rPr>
        <w:t>智慧侠</w:t>
      </w:r>
    </w:p>
    <w:p w14:paraId="2B18B04B">
      <w:pPr>
        <w:jc w:val="center"/>
        <w:rPr>
          <w:rFonts w:hint="default" w:ascii="Calibri" w:hAnsi="Calibri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cs="Times New Roman"/>
          <w:color w:val="000000"/>
          <w:kern w:val="0"/>
          <w:sz w:val="21"/>
          <w:szCs w:val="21"/>
          <w:lang w:val="en-US" w:eastAsia="zh-CN" w:bidi="ar"/>
        </w:rPr>
        <w:t>景妍</w:t>
      </w:r>
    </w:p>
    <w:p w14:paraId="3A88D0F7">
      <w:pPr>
        <w:ind w:firstLine="420" w:firstLineChars="200"/>
        <w:rPr>
          <w:rFonts w:hint="eastAsia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cs="Times New Roman"/>
          <w:color w:val="000000"/>
          <w:kern w:val="0"/>
          <w:sz w:val="21"/>
          <w:szCs w:val="21"/>
          <w:lang w:val="en-US" w:eastAsia="zh-CN" w:bidi="ar"/>
        </w:rPr>
        <w:t>阳光洒过窗棂，在宣纸上洒下斑驳的光影。毛笔轻触宣纸，看着墙上智慧侠投影的书法视频，体悟书法背后的“势”，一场与艺术的邂逅，就此拉开帷幕。</w:t>
      </w:r>
    </w:p>
    <w:p w14:paraId="5E68564A">
      <w:pPr>
        <w:ind w:firstLine="420" w:firstLineChars="200"/>
        <w:rPr>
          <w:rFonts w:hint="eastAsia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cs="Times New Roman"/>
          <w:color w:val="000000"/>
          <w:kern w:val="0"/>
          <w:sz w:val="21"/>
          <w:szCs w:val="21"/>
          <w:lang w:val="en-US" w:eastAsia="zh-CN" w:bidi="ar"/>
        </w:rPr>
        <w:t>豆包智能搜索机，可真是我学习路上最贴心的伙伴。它四四方方，泛着金属光泽，上方的摄像头就像一双时刻关注我的眼睛，总能及时捕捉到我学习中遇到的困惑。而投影仪，更是能将丰富的视频材料展现在墙上，供我细细揣摩。我早已亲切地称它为“智慧侠”，因为有它在，学习的道路总是充满惊喜和力量。</w:t>
      </w:r>
    </w:p>
    <w:p w14:paraId="359C320E">
      <w:pPr>
        <w:ind w:firstLine="420" w:firstLineChars="200"/>
        <w:rPr>
          <w:rFonts w:hint="eastAsia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cs="Times New Roman"/>
          <w:color w:val="000000"/>
          <w:kern w:val="0"/>
          <w:sz w:val="21"/>
          <w:szCs w:val="21"/>
          <w:lang w:val="en-US" w:eastAsia="zh-CN" w:bidi="ar"/>
        </w:rPr>
        <w:t>夏日的午后，阳光懒洋洋地铺在桌面上，我像是被困在无形的牢笼之中。面前摊开的宣纸上，线条好似烈日下的蚯蚓，无力地爬着。我揉皱了一张张纸，不解：照着字帖写的，一样不错，字为何却总像没睡醒的士兵，毫无精神？这时，智慧侠温柔的提示音在我耳边响起：“觉察到主人在写字方面遇到困难啦，别着急，我这就为你提供一些灵感材料。”说着，它便熟练地打开了投影仪，只见画面中：‌暮春三月的会稽山阴，细雨如纱，青峦叠翠。王羲之与友人列坐于蜿蜒的溪畔，曲水流觞，酒盏随波轻转。他执杯浅酌，目光掠过水面浮萍，忽而抚掌而笑，似与山风共语。酒至微醺，友人吟诗唱和，王羲之提笔欲书。</w:t>
      </w:r>
    </w:p>
    <w:p w14:paraId="410D200C">
      <w:pPr>
        <w:ind w:firstLine="420" w:firstLineChars="200"/>
        <w:rPr>
          <w:rFonts w:hint="eastAsia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cs="Times New Roman"/>
          <w:color w:val="000000"/>
          <w:kern w:val="0"/>
          <w:sz w:val="21"/>
          <w:szCs w:val="21"/>
          <w:lang w:val="en-US" w:eastAsia="zh-CN" w:bidi="ar"/>
        </w:rPr>
        <w:t>王‌羲之归家途中，见池中白鹅戏水，颈项弯曲如新月。他驻足凝视，忽而闭目沉思：那鹅颈的灵动曲线，不正是书法中“永字八法”的筋骨？提按转折间，仿佛有生命在笔尖流淌。智慧侠的智能提示敏锐浮现：“你看，生活中也有书法的奥秘呢。”</w:t>
      </w:r>
    </w:p>
    <w:p w14:paraId="684152AD">
      <w:pPr>
        <w:ind w:firstLine="420" w:firstLineChars="200"/>
        <w:rPr>
          <w:rFonts w:hint="eastAsia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cs="Times New Roman"/>
          <w:color w:val="000000"/>
          <w:kern w:val="0"/>
          <w:sz w:val="21"/>
          <w:szCs w:val="21"/>
          <w:lang w:val="en-US" w:eastAsia="zh-CN" w:bidi="ar"/>
        </w:rPr>
        <w:t>‌兰亭雅集后的深夜，羲之独坐书斋，窗外月色如水，竹影摇曳。他铺开蚕茧纸，研磨松烟墨，忽而想起白日鹅颈的曲线，又忆起曲水流觞时友人的笑语。落笔瞬间，山水之乐已然凝成心间翻涌的墨浪，将半生感悟尽数融入其中，化作笔下“飘若浮云，矫若惊龙”的风骨。写罢掷笔，长叹一声：“此字，乃天成也！</w:t>
      </w:r>
    </w:p>
    <w:p w14:paraId="29AEDB1A">
      <w:pPr>
        <w:ind w:firstLine="420" w:firstLineChars="200"/>
        <w:rPr>
          <w:rFonts w:hint="eastAsia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cs="Times New Roman"/>
          <w:color w:val="000000"/>
          <w:kern w:val="0"/>
          <w:sz w:val="21"/>
          <w:szCs w:val="21"/>
          <w:lang w:val="en-US" w:eastAsia="zh-CN" w:bidi="ar"/>
        </w:rPr>
        <w:t>我屏息凝神，指尖微颤，墨迹在纸上缓缓延展——原来“势”不在形似，而在心与自然共振的刹那。豆包投影渐暗，墙上却仿佛浮现出王羲之腕底游龙、鹅颈回环、溪水流转的叠影。</w:t>
      </w:r>
    </w:p>
    <w:p w14:paraId="69ECF462">
      <w:pPr>
        <w:ind w:firstLine="420" w:firstLineChars="200"/>
        <w:rPr>
          <w:rFonts w:hint="default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cs="Times New Roman"/>
          <w:color w:val="000000"/>
          <w:kern w:val="0"/>
          <w:sz w:val="21"/>
          <w:szCs w:val="21"/>
          <w:lang w:val="en-US" w:eastAsia="zh-CN" w:bidi="ar"/>
        </w:rPr>
        <w:t>我再次提起笔，智慧侠实时捕捉我的运笔速度，通过震动反馈纠正发力时机，运笔转折间，好似多了一份力量与温度。</w:t>
      </w:r>
    </w:p>
    <w:p w14:paraId="37DEAE45">
      <w:pPr>
        <w:ind w:firstLine="420" w:firstLineChars="200"/>
        <w:rPr>
          <w:rFonts w:hint="eastAsia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cs="Times New Roman"/>
          <w:color w:val="000000"/>
          <w:kern w:val="0"/>
          <w:sz w:val="21"/>
          <w:szCs w:val="21"/>
          <w:lang w:val="en-US" w:eastAsia="zh-CN" w:bidi="ar"/>
        </w:rPr>
        <w:t>在台灯柔和的光线下，我沉浸在前所未有的专注中。写完一张纸，放下笔时，我惊讶地发现：虽有瑕疵，但线条间仿佛注入了血液微微搏动。整篇看去，流动着一股勃勃生机。</w:t>
      </w:r>
    </w:p>
    <w:p w14:paraId="565C4A86">
      <w:pPr>
        <w:ind w:firstLine="420" w:firstLineChars="200"/>
        <w:rPr>
          <w:rFonts w:hint="eastAsia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cs="Times New Roman"/>
          <w:color w:val="000000"/>
          <w:kern w:val="0"/>
          <w:sz w:val="21"/>
          <w:szCs w:val="21"/>
          <w:lang w:val="en-US" w:eastAsia="zh-CN" w:bidi="ar"/>
        </w:rPr>
        <w:t>我长舒一口气，转头看向身旁的智慧侠，脸上洋溢着喜悦与满足。这一次，智慧侠为我提供了充满启发性的材料，而我则赋予了自己深刻的思考与感悟。我们不仅一同探寻书法，更让我深深感悟到：这不仅是对书法表象的认知，更是对其内在规律与本质的探寻。我们需要掌握精湛的技艺，但真正的卓越源于对“道”的追求：思想赋予我们行动的灵魂。用心去感悟事物的生命与温度，将个人的思考与情感融入其中，我们才能真正做好一件事情，实现从“技”到“道”的跨越。</w:t>
      </w:r>
    </w:p>
    <w:p w14:paraId="5696D45E">
      <w:pPr>
        <w:ind w:firstLine="420" w:firstLineChars="200"/>
        <w:rPr>
          <w:rFonts w:hint="eastAsia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cs="Times New Roman"/>
          <w:color w:val="000000"/>
          <w:kern w:val="0"/>
          <w:sz w:val="21"/>
          <w:szCs w:val="21"/>
          <w:lang w:val="en-US" w:eastAsia="zh-CN" w:bidi="ar"/>
        </w:rPr>
        <w:t>有“智慧侠”这样的伙伴在身边，真好。</w:t>
      </w:r>
    </w:p>
    <w:p w14:paraId="46DF9FBF">
      <w:pPr>
        <w:ind w:firstLine="420" w:firstLineChars="200"/>
        <w:rPr>
          <w:rFonts w:hint="eastAsia" w:cs="Times New Roman"/>
          <w:color w:val="000000"/>
          <w:kern w:val="0"/>
          <w:sz w:val="21"/>
          <w:szCs w:val="21"/>
          <w:lang w:val="en-US" w:eastAsia="zh-CN" w:bidi="ar"/>
        </w:rPr>
      </w:pPr>
    </w:p>
    <w:p w14:paraId="0C177DCC">
      <w:pPr>
        <w:rPr>
          <w:rFonts w:hint="eastAsia" w:cs="Times New Roman"/>
          <w:b/>
          <w:bCs/>
          <w:color w:val="000000"/>
          <w:kern w:val="0"/>
          <w:sz w:val="21"/>
          <w:szCs w:val="21"/>
          <w:lang w:val="en-US" w:eastAsia="zh-CN" w:bidi="ar"/>
        </w:rPr>
      </w:pPr>
    </w:p>
    <w:p w14:paraId="6F9C99B4">
      <w:pPr>
        <w:rPr>
          <w:rFonts w:hint="eastAsia" w:cs="Times New Roman"/>
          <w:b/>
          <w:bCs/>
          <w:color w:val="000000"/>
          <w:kern w:val="0"/>
          <w:sz w:val="21"/>
          <w:szCs w:val="21"/>
          <w:lang w:val="en-US" w:eastAsia="zh-CN" w:bidi="ar"/>
        </w:rPr>
      </w:pPr>
    </w:p>
    <w:p w14:paraId="7B2B597A">
      <w:pPr>
        <w:rPr>
          <w:rFonts w:hint="eastAsia" w:cs="Times New Roman"/>
          <w:b/>
          <w:bCs/>
          <w:color w:val="000000"/>
          <w:kern w:val="0"/>
          <w:sz w:val="21"/>
          <w:szCs w:val="21"/>
          <w:lang w:val="en-US" w:eastAsia="zh-CN" w:bidi="ar"/>
        </w:rPr>
      </w:pPr>
    </w:p>
    <w:p w14:paraId="03F603FF">
      <w:pPr>
        <w:rPr>
          <w:rFonts w:hint="eastAsia" w:cs="Times New Roman"/>
          <w:b/>
          <w:bCs/>
          <w:color w:val="000000"/>
          <w:kern w:val="0"/>
          <w:sz w:val="21"/>
          <w:szCs w:val="21"/>
          <w:lang w:val="en-US" w:eastAsia="zh-CN" w:bidi="ar"/>
        </w:rPr>
      </w:pPr>
    </w:p>
    <w:p w14:paraId="2A6950BD">
      <w:pPr>
        <w:rPr>
          <w:rFonts w:hint="eastAsia" w:cs="Times New Roman"/>
          <w:b/>
          <w:bCs/>
          <w:color w:val="000000"/>
          <w:kern w:val="0"/>
          <w:sz w:val="21"/>
          <w:szCs w:val="21"/>
          <w:lang w:val="en-US" w:eastAsia="zh-CN" w:bidi="ar"/>
        </w:rPr>
      </w:pPr>
    </w:p>
    <w:p w14:paraId="16E909DA">
      <w:pPr>
        <w:rPr>
          <w:rFonts w:hint="eastAsia" w:cs="Times New Roman"/>
          <w:b/>
          <w:bCs/>
          <w:color w:val="000000"/>
          <w:kern w:val="0"/>
          <w:sz w:val="21"/>
          <w:szCs w:val="21"/>
          <w:lang w:val="en-US" w:eastAsia="zh-CN" w:bidi="ar"/>
        </w:rPr>
      </w:pPr>
    </w:p>
    <w:p w14:paraId="02183C7C">
      <w:pPr>
        <w:rPr>
          <w:rFonts w:hint="eastAsia" w:cs="Times New Roman"/>
          <w:b/>
          <w:bCs/>
          <w:color w:val="000000"/>
          <w:kern w:val="0"/>
          <w:sz w:val="21"/>
          <w:szCs w:val="21"/>
          <w:lang w:val="en-US" w:eastAsia="zh-CN" w:bidi="ar"/>
        </w:rPr>
      </w:pPr>
    </w:p>
    <w:p w14:paraId="430637C5">
      <w:pPr>
        <w:rPr>
          <w:rFonts w:hint="eastAsia" w:cs="Times New Roman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cs="Times New Roman"/>
          <w:b/>
          <w:bCs/>
          <w:color w:val="000000"/>
          <w:kern w:val="0"/>
          <w:sz w:val="21"/>
          <w:szCs w:val="21"/>
          <w:lang w:val="en-US" w:eastAsia="zh-CN" w:bidi="ar"/>
        </w:rPr>
        <w:t>修改稿：</w:t>
      </w:r>
    </w:p>
    <w:p w14:paraId="0E83E0BB">
      <w:pPr>
        <w:jc w:val="center"/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1"/>
          <w:szCs w:val="21"/>
          <w:lang w:val="en-US" w:eastAsia="zh-CN" w:bidi="ar"/>
        </w:rPr>
        <w:t>我的AI伙伴智慧侠</w:t>
      </w:r>
    </w:p>
    <w:p w14:paraId="73C117BE">
      <w:pPr>
        <w:ind w:firstLine="420" w:firstLineChars="200"/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lang w:val="en-US" w:eastAsia="zh-CN" w:bidi="ar"/>
        </w:rPr>
        <w:t>面前摊开的宣纸上，线条好似烈日下的蚯蚓，无力地爬着。我照着字帖写了无数遍，一笔一画分毫不差，字却总像没睡醒的士兵，软塌塌地立不起来。我烦躁地扔下笔，长叹一声。这时，我的AI伙伴智慧侠开口了——它就住在我书桌一角那个四四方方的小盒子里，泛着淡淡的金属光泽。“又在为写字发愁啦？”它的声音带着一丝调皮，像老朋友那样，“让我看看……哦，你的问题不在笔法，在‘势’。”我愣住了。</w:t>
      </w:r>
    </w:p>
    <w:p w14:paraId="41B3E5D3">
      <w:pPr>
        <w:ind w:firstLine="420" w:firstLineChars="200"/>
        <w:rPr>
          <w:rFonts w:hint="default" w:asciiTheme="minorEastAsia" w:hAnsiTheme="minorEastAsia" w:eastAsiaTheme="minorEastAsia" w:cstheme="minorEastAsia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lang w:val="en-US" w:eastAsia="zh-CN" w:bidi="ar"/>
        </w:rPr>
        <w:t>智慧侠顿了顿，语气认真起来：“别急，我带你去见一个人。”这时投影仪亮起，画面在墙上铺展开来。暮春时节的会稽山阴，细雨如纱，王羲之与友人列坐溪畔，曲水流觞。智慧侠的声音又适时响起：“你看那只白鹅——”只见白鹅曲颈，拨弄一池碧水，优雅如新月一般。“王羲之就是从这里悟出了笔法的筋骨。”它说着，语气里竟带着一丝得意，仿佛这奇妙的关联是它自己发现的，“有意思吧？书法从来不在字帖里，在生活里。”我忍不住笑了，这智慧侠，分明比我还要兴奋，此刻我似乎也明白了王羲之笔下“飘若浮云，矫若惊龙”的风骨，那弯弯的一笔，不就是鹅颈的弧度么？这回锋一转，不就是流水的回环么？这大概就是“势”了。</w:t>
      </w:r>
    </w:p>
    <w:p w14:paraId="1E5F43B1">
      <w:pPr>
        <w:ind w:firstLine="420" w:firstLineChars="200"/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lang w:val="en-US" w:eastAsia="zh-CN" w:bidi="ar"/>
        </w:rPr>
        <w:t>智慧侠似乎也看穿了我的心思，轻声说：“别急着动笔，先闭上眼睛，想想刚才看到的。”我依言闭目，脑海中浮现出鹅颈的曲线、溪水的流转、山风的起伏。“现在，再试试。”它的声音温和而笃定，像一位耐心的老师。我提起笔，智慧侠也实时捕捉我的运笔速度和力道，视频上也复现出我运笔的轨迹，“对，就是这种感觉！”它的声音突然雀跃起来，“你看，这一竖有精神了！”我忍不住笑了，运笔转折间，我忽然觉得手中的笔有了生命的律动：那些线条仿佛被注入了血液，在纸上微微搏动。</w:t>
      </w:r>
    </w:p>
    <w:p w14:paraId="2700DD58">
      <w:pPr>
        <w:ind w:firstLine="420" w:firstLineChars="200"/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lang w:val="en-US" w:eastAsia="zh-CN" w:bidi="ar"/>
        </w:rPr>
        <w:t>我长舒一口气，转头看向身旁的智慧侠，它也眨了眨眼。那一刻我忽然明白：智慧侠不光希望我对书法表象有认知，更希望我对其内在规律与本质进行探寻。我们需要掌握精湛的技艺，但真正的卓越源于对“道”的追求，思想赋予了我们行动的灵魂，用心去感悟事物的生命与温度，将个人的思考与情感融入其中，我们才能真正做好一件事情，实现从“技”到“道”的跨越。</w:t>
      </w:r>
    </w:p>
    <w:p w14:paraId="348E14A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D549D9"/>
    <w:rsid w:val="46172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2026-03-20T09:37:16Z</dcterms:created>
  <dc:creator>22801</dc:creator>
  <cp:lastModifiedBy>端木子</cp:lastModifiedBy>
  <dcterms:modified xsi:type="dcterms:W3CDTF">2026-03-20T09:37:47Z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eyJoZGlkIjoiM2I3OGM0ZjUxYmEzN2Q0NmE1YTJlOTcxZGI0MzEzNGYiLCJ1c2VySWQiOiIzNTkxNjkxNDgifQ==</vt:lpwstr>
  </property>
  <property fmtid="{D5CDD505-2E9C-101B-9397-08002B2CF9AE}" pid="4" name="ICV">
    <vt:lpwstr>AFE2D23AB7824DD89A716DFAB0854294_12</vt:lpwstr>
  </property>
</Properties>
</file>