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bookmarkStart w:id="17" w:name="_GoBack"/>
          <w:bookmarkEnd w:id="17"/>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_Toc7068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_Toc7068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_Toc9158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_Toc9158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_Toc4854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_Toc4854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_Toc19530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_Toc19530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_Toc29139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_Toc29139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_Toc6683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_Toc6683 \h </w:instrText>
          </w:r>
          <w:r>
            <w:fldChar w:fldCharType="separate"/>
          </w:r>
          <w:r>
            <w:t>3</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_Toc28236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_Toc28236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_Toc910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_Toc910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_Toc25468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_Toc25468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_Toc9473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_Toc9473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_Toc15155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_Toc15155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_Toc11341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_Toc11341 \h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_Toc12832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_Toc12832 \h </w:instrText>
          </w:r>
          <w:r>
            <w:fldChar w:fldCharType="separate"/>
          </w:r>
          <w:r>
            <w:t>5</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706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9158"/>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854"/>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953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913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66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8236"/>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910"/>
      <w:r>
        <w:rPr>
          <w:rFonts w:hint="eastAsia"/>
          <w:lang w:val="en-US" w:eastAsia="zh-CN"/>
        </w:rPr>
        <w:t>AbstractQueuedSynchronizer</w:t>
      </w:r>
      <w:bookmarkEnd w:id="11"/>
    </w:p>
    <w:p>
      <w:pPr>
        <w:rPr>
          <w:rFonts w:hint="eastAsia"/>
          <w:lang w:val="en-US" w:eastAsia="zh-CN"/>
        </w:rPr>
      </w:pPr>
    </w:p>
    <w:p>
      <w:pPr>
        <w:numPr>
          <w:ilvl w:val="0"/>
          <w:numId w:val="0"/>
        </w:num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12" w:name="_Toc25468"/>
      <w:r>
        <w:rPr>
          <w:rFonts w:hint="eastAsia"/>
          <w:lang w:val="en-US" w:eastAsia="zh-CN"/>
        </w:rPr>
        <w:t>ReentrantLock</w:t>
      </w:r>
      <w:bookmarkEnd w:id="12"/>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3" w:name="_Toc9473"/>
      <w:r>
        <w:rPr>
          <w:rFonts w:hint="eastAsia"/>
          <w:lang w:val="en-US" w:eastAsia="zh-CN"/>
        </w:rPr>
        <w:t>2.1、ReentrantLock()</w:t>
      </w:r>
      <w:bookmarkEnd w:id="13"/>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14" w:name="_Toc15155"/>
      <w:r>
        <w:rPr>
          <w:rFonts w:hint="eastAsia"/>
          <w:lang w:val="en-US" w:eastAsia="zh-CN"/>
        </w:rPr>
        <w:t>2.2、ReentrantLock(boolean fair)</w:t>
      </w:r>
      <w:bookmarkEnd w:id="14"/>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15" w:name="_Toc11341"/>
      <w:r>
        <w:rPr>
          <w:rFonts w:hint="eastAsia"/>
          <w:lang w:val="en-US" w:eastAsia="zh-CN"/>
        </w:rPr>
        <w:t>2.3、void lock()</w:t>
      </w:r>
      <w:bookmarkEnd w:id="15"/>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16" w:name="_Toc12832"/>
      <w:r>
        <w:rPr>
          <w:rFonts w:hint="eastAsia"/>
          <w:lang w:val="en-US" w:eastAsia="zh-CN"/>
        </w:rPr>
        <w:t>2.4、void unlock()</w:t>
      </w:r>
      <w:bookmarkEnd w:id="16"/>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default"/>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用state减去arg，将结果赋值给state，判断结果是否为0，如果是0（锁资源被当前线程释放），则将成员变量exclusiveOwnerThread（是独占锁资源的线程的引用）置为空，然后唤醒下一个waitStatus&gt;0的节点。</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9BA6B2F"/>
    <w:rsid w:val="09DD033B"/>
    <w:rsid w:val="17A55002"/>
    <w:rsid w:val="1C1072DE"/>
    <w:rsid w:val="314C2F23"/>
    <w:rsid w:val="339F7376"/>
    <w:rsid w:val="35A83954"/>
    <w:rsid w:val="39033292"/>
    <w:rsid w:val="391967B5"/>
    <w:rsid w:val="3CC37240"/>
    <w:rsid w:val="3EAB4A41"/>
    <w:rsid w:val="3F4820EB"/>
    <w:rsid w:val="4537679D"/>
    <w:rsid w:val="50B024DB"/>
    <w:rsid w:val="535D7B4C"/>
    <w:rsid w:val="5CA442C0"/>
    <w:rsid w:val="5D211B1C"/>
    <w:rsid w:val="60F577E0"/>
    <w:rsid w:val="63C01BA4"/>
    <w:rsid w:val="64975364"/>
    <w:rsid w:val="64B20035"/>
    <w:rsid w:val="6AD77612"/>
    <w:rsid w:val="707B021E"/>
    <w:rsid w:val="71B9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2021-11-28T14:03:57Z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