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_Toc29149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Toc7686"/>
      <w:bookmarkStart w:id="1" w:name="_Toc29149"/>
      <w:r>
        <w:rPr>
          <w:rFonts w:hint="eastAsia"/>
          <w:lang w:val="en-US" w:eastAsia="zh-CN"/>
        </w:rPr>
        <w:t>1发布商品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187"/>
      <w:r>
        <w:rPr>
          <w:rFonts w:hint="eastAsia"/>
          <w:lang w:val="en-US" w:eastAsia="zh-CN"/>
        </w:rPr>
        <w:t>1.1具体功能流程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），先请求sobeyMallProduct/V1/medias（get）接口查询1.1.1中③预生成的对应素材id是否寻在，若不存在则请求sobeyMallProduct/V1/medias（post）接口进行文件的上传，上传流程与之前图片上上传流程相同。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2删除商品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2.1具体功能流程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3修改商品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3.1具体功能流程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" w:name="_Toc364"/>
      <w:r>
        <w:rPr>
          <w:rFonts w:hint="eastAsia"/>
          <w:lang w:val="en-US" w:eastAsia="zh-CN"/>
        </w:rPr>
        <w:t>4商品上架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528"/>
      <w:r>
        <w:rPr>
          <w:rFonts w:hint="eastAsia"/>
          <w:lang w:val="en-US" w:eastAsia="zh-CN"/>
        </w:rPr>
        <w:t>4.1具体功能流程</w:t>
      </w:r>
      <w:bookmarkEnd w:id="4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5" w:name="_Toc5485"/>
      <w:r>
        <w:rPr>
          <w:rFonts w:hint="eastAsia"/>
          <w:lang w:val="en-US" w:eastAsia="zh-CN"/>
        </w:rPr>
        <w:t>5商品下架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657"/>
      <w:r>
        <w:rPr>
          <w:rFonts w:hint="eastAsia"/>
          <w:lang w:val="en-US" w:eastAsia="zh-CN"/>
        </w:rPr>
        <w:t>5.1具体功能流程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5.1.1前台进入管理平台→商品中心→商品管理，找到要上架的商品，点击操作一栏中的下架</w:t>
      </w:r>
      <w:bookmarkStart w:id="9" w:name="_GoBack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①，携带state: "商品状态"，uuid: "商品id"调用sobeyMallProduct/V1/products（patch）商品更新接口将商品的状态修改为下架。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1开通商品服务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991"/>
      <w:bookmarkStart w:id="8" w:name="_Toc17052"/>
      <w:r>
        <w:rPr>
          <w:rFonts w:hint="eastAsia"/>
          <w:lang w:val="en-US" w:eastAsia="zh-CN"/>
        </w:rPr>
        <w:t>1.1具体功能流程</w:t>
      </w:r>
      <w:bookmarkEnd w:id="7"/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157676F2"/>
    <w:rsid w:val="2D1755E7"/>
    <w:rsid w:val="37180EBB"/>
    <w:rsid w:val="54491667"/>
    <w:rsid w:val="57E873E8"/>
    <w:rsid w:val="746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2021-05-08T10:16:29Z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E5F300CA6F6646C5ABF733C055ED0F47</vt:lpwstr>
  </property>
</Properties>
</file>