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9D52" w14:textId="6CD6F02F" w:rsidR="00DC4F5E" w:rsidRDefault="005F2FE3">
      <w:r>
        <w:t xml:space="preserve">Creating the contours of </w:t>
      </w:r>
      <w:r w:rsidR="00181CFA">
        <w:t>grammar</w:t>
      </w:r>
    </w:p>
    <w:p w14:paraId="59A17C40" w14:textId="23287885" w:rsidR="00AC159A" w:rsidRDefault="00AC159A">
      <w:r>
        <w:t>Laura A. Janda</w:t>
      </w:r>
    </w:p>
    <w:p w14:paraId="728B0883" w14:textId="77777777" w:rsidR="005F2FE3" w:rsidRDefault="005F2FE3"/>
    <w:p w14:paraId="571154B3" w14:textId="6B379293" w:rsidR="00A52A7A" w:rsidRPr="00A52A7A" w:rsidRDefault="00A52A7A">
      <w:r>
        <w:t xml:space="preserve">All of the contributions to this special issue of the </w:t>
      </w:r>
      <w:r>
        <w:rPr>
          <w:i/>
        </w:rPr>
        <w:t>Journal of Slavic Linguistics</w:t>
      </w:r>
      <w:r>
        <w:t xml:space="preserve"> approach topics relating to metaphorical representation and the evolution of grammar, particularly with respect to verbs and their interpretation. In this article I will</w:t>
      </w:r>
      <w:r w:rsidR="00585199">
        <w:t xml:space="preserve"> situate these works with respect to relevant research on the role of metaphorical thinking in structuring gramma</w:t>
      </w:r>
      <w:r w:rsidR="009A2AAB">
        <w:t>r (Coulson 2006, Langacker 2006</w:t>
      </w:r>
      <w:r w:rsidR="00585199">
        <w:t>)</w:t>
      </w:r>
      <w:r w:rsidR="00355A79">
        <w:t>,</w:t>
      </w:r>
      <w:r w:rsidR="00585199">
        <w:t xml:space="preserve"> and more particularly on the metaphorical structure of aspect (Croft 2012).</w:t>
      </w:r>
    </w:p>
    <w:p w14:paraId="50F84E52" w14:textId="0F47C566" w:rsidR="00F35813" w:rsidRDefault="00BD1048">
      <w:r>
        <w:tab/>
      </w:r>
      <w:r w:rsidR="007F431A">
        <w:t xml:space="preserve">As human beings, we tend to think of reality as something objectively separate from ourselves that is delivered to our perceptual organs in conveniently </w:t>
      </w:r>
      <w:r w:rsidR="00302659">
        <w:t>discrete</w:t>
      </w:r>
      <w:r w:rsidR="007F431A">
        <w:t xml:space="preserve"> units. However, there is ample evidence that this is a naive and incomplete view. Instead external input is </w:t>
      </w:r>
      <w:r w:rsidR="00A52A7A">
        <w:t>processed in an interactive fashion that creates structure beyond what is “out there”. As Coulson (2006)</w:t>
      </w:r>
      <w:r w:rsidR="00355A79">
        <w:t xml:space="preserve"> points out</w:t>
      </w:r>
      <w:r w:rsidR="00A52A7A">
        <w:t xml:space="preserve">, vision is an excellent example of this interactive process. At the place where the optic nerve passes through the retina, there are </w:t>
      </w:r>
      <w:r w:rsidR="00585199">
        <w:t xml:space="preserve">no photoreceptor cells, so we have no visual input. Yet we do not experience a hole in the visual field because our brains fill in what would be missing. Blinking also disrupts visual input for about 100-400 milliseconds about 10 times per minute, but we don’t </w:t>
      </w:r>
      <w:r w:rsidR="009C30C4">
        <w:t>notice any discontinuity</w:t>
      </w:r>
      <w:r w:rsidR="00355A79">
        <w:t xml:space="preserve"> thanks again to the completion effected by our brains</w:t>
      </w:r>
      <w:r w:rsidR="009C30C4">
        <w:t>. Researchers in robotics face enormous obstacles due to the differences between our human experience of vision, in which boundaries and objects are easy to see, as opposed to cameras, which have a hard time detecting the relevant discontinuities. Various optical illusions are made possible by the constructive nature of vision</w:t>
      </w:r>
      <w:r w:rsidR="00355A79">
        <w:t>, which</w:t>
      </w:r>
      <w:r w:rsidR="009C30C4">
        <w:t xml:space="preserve"> is context-sensitive and able to interpolate</w:t>
      </w:r>
      <w:r w:rsidR="00355A79">
        <w:t xml:space="preserve"> where input is inadequate due to differences in lighting, viewpoint angle, or obstructions</w:t>
      </w:r>
      <w:r w:rsidR="009C30C4">
        <w:t xml:space="preserve">. </w:t>
      </w:r>
    </w:p>
    <w:p w14:paraId="6C08EC4C" w14:textId="4F6C9420" w:rsidR="00A46CCC" w:rsidRPr="000737DA" w:rsidRDefault="00BD1048">
      <w:r>
        <w:tab/>
      </w:r>
      <w:r w:rsidR="00A46CCC">
        <w:t xml:space="preserve">Language </w:t>
      </w:r>
      <w:r w:rsidR="002B0492">
        <w:t xml:space="preserve">is similarly context-sensitive and constructive. </w:t>
      </w:r>
      <w:r w:rsidR="00302659">
        <w:t>The full</w:t>
      </w:r>
      <w:r w:rsidR="002B0492">
        <w:t xml:space="preserve"> meaning of an utterance is not encoded in the linguistic string. Instead, background knowledge and context are essential resources in making meaning possible. More crucially, use of language often involves partitioni</w:t>
      </w:r>
      <w:r w:rsidR="000737DA">
        <w:t>ng information in creative ways. We can</w:t>
      </w:r>
      <w:r w:rsidR="002B0492">
        <w:t xml:space="preserve"> creat</w:t>
      </w:r>
      <w:r w:rsidR="000737DA">
        <w:t>e</w:t>
      </w:r>
      <w:r w:rsidR="002B0492">
        <w:t xml:space="preserve"> distinctions</w:t>
      </w:r>
      <w:r w:rsidR="000737DA">
        <w:t>: the perfective vs. imperfective distinction is not something that exists objectively</w:t>
      </w:r>
      <w:r w:rsidR="00302659">
        <w:t xml:space="preserve">; instead it is creatively projected onto perceived events, and different language communities </w:t>
      </w:r>
      <w:r w:rsidR="008E3CB6">
        <w:t>are free to construct such distinctionsin different ways</w:t>
      </w:r>
      <w:r w:rsidR="000737DA">
        <w:t xml:space="preserve">. We can </w:t>
      </w:r>
      <w:r w:rsidR="002B0492">
        <w:t>conceiv</w:t>
      </w:r>
      <w:r w:rsidR="000737DA">
        <w:t>e</w:t>
      </w:r>
      <w:r w:rsidR="002B0492">
        <w:t xml:space="preserve"> of things that don’t exist</w:t>
      </w:r>
      <w:r w:rsidR="000737DA">
        <w:t xml:space="preserve">, </w:t>
      </w:r>
      <w:r w:rsidR="002B0492">
        <w:t>as in the use of modals</w:t>
      </w:r>
      <w:r w:rsidR="000737DA">
        <w:t>, counterfactuals, and future tense.</w:t>
      </w:r>
      <w:r w:rsidR="002B0492">
        <w:t xml:space="preserve"> </w:t>
      </w:r>
      <w:r w:rsidR="000737DA">
        <w:t>We can even assign</w:t>
      </w:r>
      <w:r w:rsidR="002B0492">
        <w:t xml:space="preserve"> multiple interpretations </w:t>
      </w:r>
      <w:r w:rsidR="000737DA">
        <w:t xml:space="preserve">to a </w:t>
      </w:r>
      <w:r w:rsidR="00C67143">
        <w:t>single</w:t>
      </w:r>
      <w:r w:rsidR="000737DA">
        <w:t xml:space="preserve"> item of realia, such as </w:t>
      </w:r>
      <w:r w:rsidR="000737DA">
        <w:rPr>
          <w:i/>
        </w:rPr>
        <w:t>roe</w:t>
      </w:r>
      <w:r w:rsidR="000737DA">
        <w:t xml:space="preserve"> (which evokes a biological frame) vs. </w:t>
      </w:r>
      <w:r w:rsidR="000737DA">
        <w:rPr>
          <w:i/>
        </w:rPr>
        <w:t>caviar</w:t>
      </w:r>
      <w:r w:rsidR="000737DA">
        <w:t xml:space="preserve"> (which evokes a culinary frame; Langacker 1987).</w:t>
      </w:r>
    </w:p>
    <w:p w14:paraId="655B2791" w14:textId="137B60B3" w:rsidR="000737DA" w:rsidRDefault="00BD1048">
      <w:r>
        <w:tab/>
      </w:r>
      <w:r w:rsidR="00C67143">
        <w:t xml:space="preserve">Coulson (2006) makes the case that </w:t>
      </w:r>
      <w:r w:rsidR="008E3CB6">
        <w:t xml:space="preserve">parallels between </w:t>
      </w:r>
      <w:r w:rsidR="00C67143">
        <w:t xml:space="preserve">the fundamentally constructive processes of vision and </w:t>
      </w:r>
      <w:r w:rsidR="008E3CB6">
        <w:t xml:space="preserve">of </w:t>
      </w:r>
      <w:r w:rsidR="00C67143">
        <w:t>language are not merely accidental</w:t>
      </w:r>
      <w:r w:rsidR="00251CA5">
        <w:t xml:space="preserve">. They likely rely upon the </w:t>
      </w:r>
      <w:r w:rsidR="000737DA">
        <w:t>same neurological mechanisms</w:t>
      </w:r>
      <w:r w:rsidR="00251CA5">
        <w:t xml:space="preserve"> of connectivity, in which the behavior of any given neuron is influenced by others that connect to it, yielding networks of cells that fire simultaneously. This connectivity makes it possible to integrate specific features of input with context and background knowledge and to fill in gaps </w:t>
      </w:r>
      <w:r w:rsidR="008E3CB6">
        <w:t>and construct</w:t>
      </w:r>
      <w:r w:rsidR="00251CA5">
        <w:t xml:space="preserve"> </w:t>
      </w:r>
      <w:r w:rsidR="00355A79">
        <w:t xml:space="preserve">borders. </w:t>
      </w:r>
    </w:p>
    <w:p w14:paraId="5236EB67" w14:textId="7F397B08" w:rsidR="00CC3B9B" w:rsidRDefault="00BD1048">
      <w:r>
        <w:tab/>
      </w:r>
      <w:r w:rsidR="00CC3B9B">
        <w:t xml:space="preserve">This special issue focuses on the constructive </w:t>
      </w:r>
      <w:r w:rsidR="00FE528C">
        <w:t>processes</w:t>
      </w:r>
      <w:r w:rsidR="00CC3B9B">
        <w:t xml:space="preserve"> of language to create distinctions in terms of our understanding of time, aspect, and </w:t>
      </w:r>
      <w:r w:rsidR="00FE528C">
        <w:t xml:space="preserve">grammatical constructions, and how these processes evolve. The first section of </w:t>
      </w:r>
      <w:r w:rsidR="00FE528C">
        <w:lastRenderedPageBreak/>
        <w:t xml:space="preserve">this article examines the creative process itself, particularly in relation to </w:t>
      </w:r>
      <w:r w:rsidR="00D015F1">
        <w:t>the</w:t>
      </w:r>
      <w:r w:rsidR="00FE528C">
        <w:t xml:space="preserve"> linguistic understanding of time. The second section </w:t>
      </w:r>
      <w:r w:rsidR="008E3CB6">
        <w:t>focuses on</w:t>
      </w:r>
      <w:r w:rsidR="00FE528C">
        <w:t xml:space="preserve"> the language changes described in the contributions.</w:t>
      </w:r>
    </w:p>
    <w:p w14:paraId="2FF578C8" w14:textId="5B31D119" w:rsidR="00A53CCD" w:rsidRDefault="00BD1048">
      <w:r>
        <w:tab/>
      </w:r>
      <w:r w:rsidR="00A53CCD">
        <w:t xml:space="preserve">In this article, the contributions in this issue will be tagged as “t.i.” (“this issue”) thus: Andersen (t.i.), Dahl (t.i.), </w:t>
      </w:r>
      <w:r w:rsidR="0054260A">
        <w:t>Dickey (t.i.), Nesset (t.i.), and Sokolova (t.i.)</w:t>
      </w:r>
      <w:r w:rsidR="00A53CCD">
        <w:t>. The research published here was made possible by grants from the Norwegian Research Council, the Centre for Advanced Study of the Norwegian Academy of Science and Letters, and the University of Tromsø.</w:t>
      </w:r>
    </w:p>
    <w:p w14:paraId="77276060" w14:textId="77777777" w:rsidR="00A53CCD" w:rsidRDefault="00A53CCD"/>
    <w:p w14:paraId="0A99C536" w14:textId="4C06DF4F" w:rsidR="007F431A" w:rsidRDefault="00E15CD3">
      <w:r>
        <w:t xml:space="preserve">1. </w:t>
      </w:r>
      <w:r w:rsidR="007F431A">
        <w:t>Creating the contours of time</w:t>
      </w:r>
    </w:p>
    <w:p w14:paraId="7D3D548F" w14:textId="1FFF95B0" w:rsidR="00096D2F" w:rsidRDefault="00D015F1">
      <w:r>
        <w:t xml:space="preserve">Dahl (t.i.) makes a bold claim, namely that time itself, or at least our concept of time, is a creative construction rather than an observation of an independently existing structure. </w:t>
      </w:r>
      <w:r w:rsidR="001C733A">
        <w:t>According to Dahl, we</w:t>
      </w:r>
      <w:r>
        <w:t xml:space="preserve"> understand </w:t>
      </w:r>
      <w:r w:rsidR="001C733A">
        <w:t xml:space="preserve">time in terms of </w:t>
      </w:r>
      <w:r>
        <w:t xml:space="preserve">static states </w:t>
      </w:r>
      <w:r w:rsidR="00DF7783">
        <w:t>connected by directional transitions from one state to another</w:t>
      </w:r>
      <w:r w:rsidR="00E4033A">
        <w:t xml:space="preserve"> (the equivalent of Vendlerian achievements)</w:t>
      </w:r>
      <w:r w:rsidR="00DF7783">
        <w:t xml:space="preserve">. The directional transitions, represented </w:t>
      </w:r>
      <w:r w:rsidR="001C733A">
        <w:t xml:space="preserve">in language </w:t>
      </w:r>
      <w:r w:rsidR="00DF7783">
        <w:t xml:space="preserve">as telic predicates, are crucial in this model, but they are themselves constructs. The construction of telic transition events depends upon the human tendency to perceive a boundary wherever there is some difference in the distribution of properties. For example, if we see a matrix of white boxes placed adjacent to a matrix of black boxes, we perceive a boundary between the two groups of boxes even though there is no line running between them. </w:t>
      </w:r>
      <w:r w:rsidR="00C57838">
        <w:t>In an analogous way we construct telic transitions, which are events understood as reified objects, namely boundaries between states. Collectively these transitions define the domain of time by populating it with time points and intervals.</w:t>
      </w:r>
    </w:p>
    <w:p w14:paraId="7A45FCAD" w14:textId="4D46BEDA" w:rsidR="001B5DF6" w:rsidRDefault="001B5DF6">
      <w:r>
        <w:tab/>
        <w:t xml:space="preserve">Dahl’s model of time is consistent with Langacker’s (2006) more general view of the relationship between continuity and discreteness. When presented with a continuous domain, we </w:t>
      </w:r>
      <w:r w:rsidR="002D53DD">
        <w:t>are faced with the problem that we cannot specify anything useful</w:t>
      </w:r>
      <w:r w:rsidR="001C733A">
        <w:t xml:space="preserve"> in order to anchor meaning</w:t>
      </w:r>
      <w:r w:rsidR="002D53DD">
        <w:t xml:space="preserve">. We </w:t>
      </w:r>
      <w:r>
        <w:t xml:space="preserve">need to exploit whatever contrasts we can detect in order to </w:t>
      </w:r>
      <w:r w:rsidR="002D53DD">
        <w:t xml:space="preserve">identify boundaries and thus create reference points. These boundaries and reference points facilitate emergent structure. An example is a reification of the type </w:t>
      </w:r>
      <w:r w:rsidR="002D53DD">
        <w:rPr>
          <w:i/>
        </w:rPr>
        <w:t>archipelago</w:t>
      </w:r>
      <w:r w:rsidR="005930E0">
        <w:t xml:space="preserve"> (Langacker 2006: 119)</w:t>
      </w:r>
      <w:r w:rsidR="002D53DD">
        <w:t>. On the face of it, there is no such object since there is no</w:t>
      </w:r>
      <w:r w:rsidR="006D6933">
        <w:t xml:space="preserve"> boundary around an archipelago, nor even any </w:t>
      </w:r>
      <w:r w:rsidR="002D53DD">
        <w:t>non-arbitrary place for such a boundary</w:t>
      </w:r>
      <w:r w:rsidR="005930E0">
        <w:t>, sinc</w:t>
      </w:r>
      <w:r w:rsidR="001C733A">
        <w:t>e it could li</w:t>
      </w:r>
      <w:r w:rsidR="005930E0">
        <w:t>e anywhere</w:t>
      </w:r>
      <w:r w:rsidR="002D53DD">
        <w:t xml:space="preserve"> between the edges of the outer islands and any other islands that are not in the archipelago</w:t>
      </w:r>
      <w:r w:rsidR="001C733A">
        <w:t xml:space="preserve">, perhaps </w:t>
      </w:r>
      <w:r w:rsidR="005930E0">
        <w:t>hundreds of miles away</w:t>
      </w:r>
      <w:r w:rsidR="002D53DD">
        <w:t xml:space="preserve">. The islands that belong to the archipelago are merely a non-random distribution of elements in the otherwise continuous domain of the ocean. </w:t>
      </w:r>
      <w:r w:rsidR="006D6933">
        <w:t xml:space="preserve">The same is true of many nouns that denote collections, such as </w:t>
      </w:r>
      <w:r w:rsidR="006D6933" w:rsidRPr="006D6933">
        <w:rPr>
          <w:i/>
        </w:rPr>
        <w:t>village</w:t>
      </w:r>
      <w:r w:rsidR="006D6933">
        <w:t xml:space="preserve">, </w:t>
      </w:r>
      <w:r w:rsidR="006D6933" w:rsidRPr="006D6933">
        <w:rPr>
          <w:i/>
        </w:rPr>
        <w:t>family</w:t>
      </w:r>
      <w:r w:rsidR="006D6933">
        <w:t xml:space="preserve">, </w:t>
      </w:r>
      <w:r w:rsidR="006D6933" w:rsidRPr="006D6933">
        <w:rPr>
          <w:i/>
        </w:rPr>
        <w:t>herd</w:t>
      </w:r>
      <w:r w:rsidR="006D6933">
        <w:t xml:space="preserve">. </w:t>
      </w:r>
      <w:r w:rsidR="005930E0">
        <w:t xml:space="preserve">Langacker claims that emergent structures like </w:t>
      </w:r>
      <w:r w:rsidR="005936C4">
        <w:rPr>
          <w:i/>
        </w:rPr>
        <w:t>archipelago</w:t>
      </w:r>
      <w:r w:rsidR="005936C4">
        <w:t xml:space="preserve"> are prevalent in language,</w:t>
      </w:r>
      <w:r w:rsidR="006D6933">
        <w:t xml:space="preserve"> which reveals a tendency to favor discreteness.</w:t>
      </w:r>
      <w:r w:rsidR="005936C4">
        <w:t xml:space="preserve"> </w:t>
      </w:r>
      <w:r w:rsidR="006D6933">
        <w:t>T</w:t>
      </w:r>
      <w:r w:rsidR="005936C4">
        <w:t xml:space="preserve">he “boundary” that surrounds an archipelago is the spatial equivalent of Dahl’s telic transition, which is likewise an emergent structure. </w:t>
      </w:r>
      <w:r w:rsidR="006D6933">
        <w:t>Dahl goes one step further by asserting that the very domain of time itself, rather than having a prior existence as a continuum, is actually created by telic transitions.</w:t>
      </w:r>
    </w:p>
    <w:p w14:paraId="34A7EBFE" w14:textId="57EC09E5" w:rsidR="0030177C" w:rsidRDefault="005A668F">
      <w:r>
        <w:tab/>
        <w:t xml:space="preserve">The basic building blocks of Dahl’s temporal domain, namely states and transitions, are the same basic elements found in Croft’s (2012: Chapter 2) model of aspectual types. Croft sets up a geometric model for aspect with two </w:t>
      </w:r>
      <w:r w:rsidR="003332C1">
        <w:t>dimensions: t = time (along the</w:t>
      </w:r>
      <w:r>
        <w:t xml:space="preserve"> horizontal axis) and q = qualitative states (along the vertical axis</w:t>
      </w:r>
      <w:r w:rsidR="003332C1">
        <w:t>, where distance indicates difference between states</w:t>
      </w:r>
      <w:r>
        <w:t xml:space="preserve">). </w:t>
      </w:r>
      <w:r w:rsidR="003332C1">
        <w:t xml:space="preserve">In Figure 1 we see the aspectual contour for the predicate </w:t>
      </w:r>
      <w:r w:rsidR="00516105">
        <w:rPr>
          <w:i/>
        </w:rPr>
        <w:t xml:space="preserve">Dver’ otkrylsja </w:t>
      </w:r>
      <w:r w:rsidR="00516105">
        <w:t>‘</w:t>
      </w:r>
      <w:r w:rsidR="003332C1" w:rsidRPr="00516105">
        <w:t>The door opened</w:t>
      </w:r>
      <w:r w:rsidR="00516105">
        <w:t>’</w:t>
      </w:r>
      <w:r w:rsidR="003332C1">
        <w:t xml:space="preserve"> as diagrammed by Croft: it begins with a s</w:t>
      </w:r>
      <w:r w:rsidR="001463D2">
        <w:t xml:space="preserve">tate in which the door is closed, </w:t>
      </w:r>
      <w:r w:rsidR="003332C1">
        <w:t xml:space="preserve">a transition in which it becomes open, and then a state in which the door is open. </w:t>
      </w:r>
      <w:r w:rsidR="001463D2">
        <w:t>The initial state is represented as a horizontal dotted segment, the transition is a vertical segment that is solid because this part of the contour is profiled in this predicate, and the final state is another horizontal dotted segment.</w:t>
      </w:r>
    </w:p>
    <w:p w14:paraId="29154FA2" w14:textId="77777777" w:rsidR="0030177C" w:rsidRDefault="0030177C"/>
    <w:p w14:paraId="319CC3F5" w14:textId="65E8DB79" w:rsidR="0030177C" w:rsidRDefault="0030177C">
      <w:r>
        <w:t>Figure 1: Achievement (Croft 2012: 60)</w:t>
      </w:r>
    </w:p>
    <w:p w14:paraId="66165A21" w14:textId="77777777" w:rsidR="0030177C" w:rsidRDefault="0030177C"/>
    <w:p w14:paraId="519A830D" w14:textId="212F9B34" w:rsidR="00D07A5A" w:rsidRPr="00D07A5A" w:rsidRDefault="00BD1048">
      <w:r>
        <w:tab/>
      </w:r>
      <w:r w:rsidR="003332C1">
        <w:t>From Dahl’s perspective, both the states and the transition</w:t>
      </w:r>
      <w:r w:rsidR="001463D2">
        <w:t>s</w:t>
      </w:r>
      <w:r w:rsidR="003332C1">
        <w:t xml:space="preserve"> between them are emergent structures</w:t>
      </w:r>
      <w:r w:rsidR="006F2617">
        <w:t>,</w:t>
      </w:r>
      <w:r w:rsidR="003332C1">
        <w:t xml:space="preserve"> </w:t>
      </w:r>
      <w:r w:rsidR="006F2617">
        <w:t>and these structures in turn</w:t>
      </w:r>
      <w:r w:rsidR="003332C1">
        <w:t xml:space="preserve"> define the parameter of time. </w:t>
      </w:r>
      <w:r w:rsidR="0068551A">
        <w:t>For both Croft and Dahl, v</w:t>
      </w:r>
      <w:r w:rsidR="00B73214">
        <w:t>arious combinations of states and transitions</w:t>
      </w:r>
      <w:r w:rsidR="0068551A">
        <w:t xml:space="preserve"> yield the contours of various event types, and both have recognized the importance of construal since </w:t>
      </w:r>
      <w:r w:rsidR="00516105">
        <w:t>a given utterance can be construed in various ways. For example, the distinction between Vendlerian acheivements and accomplishments depends upon whether an event is construed as simple or complex</w:t>
      </w:r>
      <w:r w:rsidR="00D07A5A">
        <w:t xml:space="preserve">. In a statement like (1), </w:t>
      </w:r>
      <w:r w:rsidR="00D07A5A">
        <w:rPr>
          <w:i/>
        </w:rPr>
        <w:t>ugovoril</w:t>
      </w:r>
      <w:r w:rsidR="00D07A5A">
        <w:t xml:space="preserve"> ‘convinced’ functions as a simple achievement, and could be diagrammed as in Figure 1. However in (2), </w:t>
      </w:r>
      <w:r w:rsidR="001531C4">
        <w:t>the same verb reflects a contour like in Figure 2, where we have an initial state of rest</w:t>
      </w:r>
      <w:r w:rsidR="00B7103C">
        <w:t xml:space="preserve"> (horizontal segment)</w:t>
      </w:r>
      <w:r w:rsidR="001531C4">
        <w:t xml:space="preserve">, a transition to an onset of activity (vertical segment), an activity </w:t>
      </w:r>
      <w:r w:rsidR="00B7103C">
        <w:t xml:space="preserve">consisting of the </w:t>
      </w:r>
      <w:r w:rsidR="001531C4">
        <w:t>presentation of arguments</w:t>
      </w:r>
      <w:r w:rsidR="00B7103C">
        <w:t xml:space="preserve"> (zigzag segment</w:t>
      </w:r>
      <w:r w:rsidR="001531C4">
        <w:t>), a</w:t>
      </w:r>
      <w:r w:rsidR="00B7103C">
        <w:t>nother</w:t>
      </w:r>
      <w:r w:rsidR="001531C4">
        <w:t xml:space="preserve"> transition </w:t>
      </w:r>
      <w:r w:rsidR="00B7103C">
        <w:t xml:space="preserve">(vertical segment), and a final state </w:t>
      </w:r>
      <w:r w:rsidR="001531C4">
        <w:t>wher</w:t>
      </w:r>
      <w:r w:rsidR="00B7103C">
        <w:t>e the interlocutor is convinced (horizontal segment)</w:t>
      </w:r>
      <w:r w:rsidR="001531C4">
        <w:t>. In recognition of the intermediate nature of this type, Croft labels it both “runup achievement” and “nonincremental accomplishment”.</w:t>
      </w:r>
      <w:r w:rsidR="0030177C">
        <w:t xml:space="preserve"> </w:t>
      </w:r>
    </w:p>
    <w:p w14:paraId="07B2105F" w14:textId="77777777" w:rsidR="00D07A5A" w:rsidRDefault="00D07A5A"/>
    <w:p w14:paraId="63A9C35D" w14:textId="37BA25BB" w:rsidR="00D07A5A" w:rsidRDefault="00D07A5A">
      <w:pPr>
        <w:rPr>
          <w:rStyle w:val="doc"/>
          <w:rFonts w:eastAsia="Times New Roman" w:cs="Times New Roman"/>
        </w:rPr>
      </w:pPr>
      <w:r>
        <w:rPr>
          <w:rStyle w:val="b-wrd-expl"/>
          <w:rFonts w:eastAsia="Times New Roman" w:cs="Times New Roman"/>
        </w:rPr>
        <w:t xml:space="preserve">(1) </w:t>
      </w:r>
      <w:r w:rsidR="00B7103C" w:rsidRPr="00B7103C">
        <w:rPr>
          <w:rStyle w:val="b-wrd-expl"/>
          <w:rFonts w:eastAsia="Times New Roman" w:cs="Times New Roman"/>
          <w:i/>
        </w:rPr>
        <w:t>Snova prixodil Semenov. Ugovoril menja vyjti vo dvor. Predlo</w:t>
      </w:r>
      <w:r w:rsidR="00B7103C" w:rsidRPr="00B7103C">
        <w:rPr>
          <w:rStyle w:val="b-wrd-expl"/>
          <w:rFonts w:eastAsia="Times New Roman" w:cs="Times New Roman"/>
          <w:i/>
          <w:lang w:val="cs-CZ"/>
        </w:rPr>
        <w:t>ž</w:t>
      </w:r>
      <w:r w:rsidR="00B7103C" w:rsidRPr="00B7103C">
        <w:rPr>
          <w:rStyle w:val="b-wrd-expl"/>
          <w:rFonts w:eastAsia="Times New Roman" w:cs="Times New Roman"/>
          <w:i/>
        </w:rPr>
        <w:t>il zakurit’, no ja otkazalsja.</w:t>
      </w:r>
      <w:r w:rsidR="00B7103C">
        <w:rPr>
          <w:rStyle w:val="b-wrd-expl"/>
          <w:rFonts w:eastAsia="Times New Roman" w:cs="Times New Roman"/>
        </w:rPr>
        <w:t xml:space="preserve"> </w:t>
      </w:r>
      <w:r>
        <w:rPr>
          <w:rStyle w:val="doc"/>
          <w:rFonts w:eastAsia="Times New Roman" w:cs="Times New Roman"/>
        </w:rPr>
        <w:t>[</w:t>
      </w:r>
      <w:r w:rsidR="00B7103C">
        <w:rPr>
          <w:rStyle w:val="doc"/>
          <w:rFonts w:eastAsia="Times New Roman" w:cs="Times New Roman"/>
        </w:rPr>
        <w:t>Andrej Gelasimov. Ne</w:t>
      </w:r>
      <w:r w:rsidR="00B7103C">
        <w:rPr>
          <w:rStyle w:val="doc"/>
          <w:rFonts w:eastAsia="Times New Roman" w:cs="Times New Roman"/>
          <w:lang w:val="cs-CZ"/>
        </w:rPr>
        <w:t>ž</w:t>
      </w:r>
      <w:r w:rsidR="00B7103C">
        <w:rPr>
          <w:rStyle w:val="doc"/>
          <w:rFonts w:eastAsia="Times New Roman" w:cs="Times New Roman"/>
        </w:rPr>
        <w:t xml:space="preserve">nyj vozrast </w:t>
      </w:r>
      <w:r>
        <w:rPr>
          <w:rStyle w:val="doc"/>
          <w:rFonts w:eastAsia="Times New Roman" w:cs="Times New Roman"/>
        </w:rPr>
        <w:t>(2001)]</w:t>
      </w:r>
    </w:p>
    <w:p w14:paraId="7B463E30" w14:textId="30E1F3EB" w:rsidR="00B7103C" w:rsidRDefault="00B7103C">
      <w:pPr>
        <w:rPr>
          <w:rStyle w:val="doc"/>
          <w:rFonts w:eastAsia="Times New Roman" w:cs="Times New Roman"/>
        </w:rPr>
      </w:pPr>
      <w:r>
        <w:rPr>
          <w:rStyle w:val="doc"/>
          <w:rFonts w:eastAsia="Times New Roman" w:cs="Times New Roman"/>
        </w:rPr>
        <w:t xml:space="preserve">‘Semenov came again. He </w:t>
      </w:r>
      <w:r w:rsidR="00F00BB8">
        <w:rPr>
          <w:rStyle w:val="doc"/>
          <w:rFonts w:eastAsia="Times New Roman" w:cs="Times New Roman"/>
        </w:rPr>
        <w:t>convinced me to come outside. He offered me a cigarette, but I refused.</w:t>
      </w:r>
      <w:r>
        <w:rPr>
          <w:rStyle w:val="doc"/>
          <w:rFonts w:eastAsia="Times New Roman" w:cs="Times New Roman"/>
        </w:rPr>
        <w:t>’</w:t>
      </w:r>
    </w:p>
    <w:p w14:paraId="62B83ACB" w14:textId="77777777" w:rsidR="001531C4" w:rsidRDefault="001531C4">
      <w:pPr>
        <w:rPr>
          <w:rStyle w:val="doc"/>
          <w:rFonts w:eastAsia="Times New Roman" w:cs="Times New Roman"/>
        </w:rPr>
      </w:pPr>
    </w:p>
    <w:p w14:paraId="50B45E54" w14:textId="7EDAA0B5" w:rsidR="001531C4" w:rsidRDefault="001531C4">
      <w:pPr>
        <w:rPr>
          <w:rStyle w:val="doc"/>
          <w:rFonts w:eastAsia="Times New Roman" w:cs="Times New Roman"/>
        </w:rPr>
      </w:pPr>
      <w:r>
        <w:rPr>
          <w:rStyle w:val="doc"/>
          <w:rFonts w:eastAsia="Times New Roman" w:cs="Times New Roman"/>
        </w:rPr>
        <w:t xml:space="preserve">(2) </w:t>
      </w:r>
      <w:r w:rsidR="00F00BB8">
        <w:rPr>
          <w:rStyle w:val="doc"/>
          <w:rFonts w:eastAsia="Times New Roman" w:cs="Times New Roman"/>
          <w:i/>
        </w:rPr>
        <w:t xml:space="preserve">S trudom ugovoril ego pojti k nam, pomog podnjat’sja po lestnice. </w:t>
      </w:r>
      <w:r>
        <w:rPr>
          <w:rStyle w:val="doc"/>
          <w:rFonts w:eastAsia="Times New Roman" w:cs="Times New Roman"/>
        </w:rPr>
        <w:t>[</w:t>
      </w:r>
      <w:r w:rsidR="00F00BB8">
        <w:rPr>
          <w:rStyle w:val="doc"/>
          <w:rFonts w:eastAsia="Times New Roman" w:cs="Times New Roman"/>
        </w:rPr>
        <w:t xml:space="preserve">Viktor Astaf’ev. Zatesi </w:t>
      </w:r>
      <w:r>
        <w:rPr>
          <w:rStyle w:val="doc"/>
          <w:rFonts w:eastAsia="Times New Roman" w:cs="Times New Roman"/>
        </w:rPr>
        <w:t xml:space="preserve">(1999) // </w:t>
      </w:r>
      <w:r w:rsidR="00F00BB8">
        <w:rPr>
          <w:rStyle w:val="doc"/>
          <w:rFonts w:eastAsia="Times New Roman" w:cs="Times New Roman"/>
        </w:rPr>
        <w:t>“Novyj mir”</w:t>
      </w:r>
      <w:r>
        <w:rPr>
          <w:rStyle w:val="doc"/>
          <w:rFonts w:eastAsia="Times New Roman" w:cs="Times New Roman"/>
        </w:rPr>
        <w:t>, 2000]</w:t>
      </w:r>
    </w:p>
    <w:p w14:paraId="410637A5" w14:textId="3AD16CCD" w:rsidR="00BD1048" w:rsidRDefault="00BD1048">
      <w:pPr>
        <w:rPr>
          <w:rStyle w:val="doc"/>
          <w:rFonts w:eastAsia="Times New Roman" w:cs="Times New Roman"/>
        </w:rPr>
      </w:pPr>
      <w:r>
        <w:rPr>
          <w:rStyle w:val="doc"/>
          <w:rFonts w:eastAsia="Times New Roman" w:cs="Times New Roman"/>
        </w:rPr>
        <w:t>“It took some doing to convince him to come to visit us, and I helped him up the stairs.”</w:t>
      </w:r>
    </w:p>
    <w:p w14:paraId="304844D6" w14:textId="77777777" w:rsidR="00D07A5A" w:rsidRDefault="00D07A5A">
      <w:pPr>
        <w:rPr>
          <w:rStyle w:val="doc"/>
          <w:rFonts w:eastAsia="Times New Roman" w:cs="Times New Roman"/>
        </w:rPr>
      </w:pPr>
    </w:p>
    <w:p w14:paraId="5F85A2CD" w14:textId="77777777" w:rsidR="00D07A5A" w:rsidRDefault="00D07A5A"/>
    <w:p w14:paraId="10128139" w14:textId="03855C65" w:rsidR="001531C4" w:rsidRPr="00D07A5A" w:rsidRDefault="001531C4">
      <w:r>
        <w:t xml:space="preserve">Figure 2: </w:t>
      </w:r>
      <w:r w:rsidR="0030177C">
        <w:t>Runup achievement/Nonincremental Accomplishment (Croft 2012: 62)</w:t>
      </w:r>
    </w:p>
    <w:p w14:paraId="552ABD37" w14:textId="77777777" w:rsidR="00D07A5A" w:rsidRDefault="00D07A5A"/>
    <w:p w14:paraId="4BB37A2A" w14:textId="3A61DBAE" w:rsidR="005A668F" w:rsidRDefault="0068551A">
      <w:r>
        <w:t xml:space="preserve"> </w:t>
      </w:r>
      <w:r w:rsidR="00BD1048">
        <w:tab/>
      </w:r>
      <w:r>
        <w:t xml:space="preserve">Croft has worked out a taxonomy of </w:t>
      </w:r>
      <w:r w:rsidR="0030177C">
        <w:t>aspectual c</w:t>
      </w:r>
      <w:r w:rsidR="00517581">
        <w:t xml:space="preserve">ontours for various event types, and these are relevant also for other articles in this special issue. </w:t>
      </w:r>
      <w:r w:rsidR="00735110">
        <w:t xml:space="preserve">For example there is a relationship between a cyclic activity like </w:t>
      </w:r>
      <w:r w:rsidR="00735110">
        <w:rPr>
          <w:i/>
        </w:rPr>
        <w:t>maxat’</w:t>
      </w:r>
      <w:r w:rsidR="00735110">
        <w:t xml:space="preserve"> ‘wave (repeatedly)’, as diagrammed in Figure 3 and a cyclic achievement like </w:t>
      </w:r>
      <w:r w:rsidR="00735110">
        <w:rPr>
          <w:i/>
        </w:rPr>
        <w:t>maxnut’</w:t>
      </w:r>
      <w:r w:rsidR="00735110">
        <w:t xml:space="preserve"> ‘wave (once)’, as diagrammed in Figure 4. </w:t>
      </w:r>
    </w:p>
    <w:p w14:paraId="31BDCBA1" w14:textId="77777777" w:rsidR="00735110" w:rsidRDefault="00735110"/>
    <w:p w14:paraId="159BE7CC" w14:textId="4EE1C99D" w:rsidR="00735110" w:rsidRDefault="00735110">
      <w:r>
        <w:t>Figure 3: Cyclic activity (Croft 2012: 61)</w:t>
      </w:r>
    </w:p>
    <w:p w14:paraId="47006C05" w14:textId="77777777" w:rsidR="00735110" w:rsidRDefault="00735110"/>
    <w:p w14:paraId="763CC970" w14:textId="0ED7E9AE" w:rsidR="00735110" w:rsidRDefault="00735110">
      <w:r>
        <w:t>Figure 4: Cyclic achievement (Croft 2012: 60)</w:t>
      </w:r>
    </w:p>
    <w:p w14:paraId="0C47B4A2" w14:textId="77777777" w:rsidR="00735110" w:rsidRDefault="00735110"/>
    <w:p w14:paraId="663FB78D" w14:textId="77777777" w:rsidR="007A3F85" w:rsidRDefault="00BD1048">
      <w:r>
        <w:t xml:space="preserve">Figure 3 shows an initial </w:t>
      </w:r>
      <w:r w:rsidR="00071FD1">
        <w:t xml:space="preserve">rest </w:t>
      </w:r>
      <w:r>
        <w:t xml:space="preserve">state followed by an onset transition and then an activity consisting of repeated cycles (zigzag line). </w:t>
      </w:r>
      <w:r w:rsidR="00071FD1">
        <w:t xml:space="preserve">The repeated cycles represent repeated waving motions in the case of </w:t>
      </w:r>
      <w:r w:rsidR="00071FD1">
        <w:rPr>
          <w:i/>
        </w:rPr>
        <w:t>maxat’</w:t>
      </w:r>
      <w:r w:rsidR="00071FD1">
        <w:t xml:space="preserve"> ‘wave (repeatedly)’. </w:t>
      </w:r>
      <w:r>
        <w:t>Figure 4</w:t>
      </w:r>
      <w:r w:rsidR="00071FD1">
        <w:t xml:space="preserve"> begins with an initial rest state, a transition and peak and then a transition back to the state of rest that is also the final state. The transition and peak profile the movement of the hand in a single wave in the case of </w:t>
      </w:r>
      <w:r w:rsidR="00071FD1">
        <w:rPr>
          <w:i/>
        </w:rPr>
        <w:t>maxnut’</w:t>
      </w:r>
      <w:r w:rsidR="00071FD1">
        <w:t xml:space="preserve"> ‘wave (once)’, after which the hand returns to its original position.</w:t>
      </w:r>
      <w:r w:rsidR="007A3F85">
        <w:t xml:space="preserve"> </w:t>
      </w:r>
      <w:r w:rsidR="00735110">
        <w:t xml:space="preserve">Talmy (2000: 68) likewise </w:t>
      </w:r>
      <w:r w:rsidR="00C36844">
        <w:t>recognizes “mutiplex” verbs that can denote a series of cycles and their relationship to “full cycle” verbs that denote just one cycle from such a series</w:t>
      </w:r>
      <w:r w:rsidR="007A3F85">
        <w:t xml:space="preserve"> with similar diagrams</w:t>
      </w:r>
      <w:r w:rsidR="00C36844">
        <w:t xml:space="preserve">. </w:t>
      </w:r>
      <w:r w:rsidR="007A3F85">
        <w:tab/>
      </w:r>
    </w:p>
    <w:p w14:paraId="35E95231" w14:textId="2930C18A" w:rsidR="00735110" w:rsidRDefault="007A3F85">
      <w:r>
        <w:tab/>
      </w:r>
      <w:r w:rsidR="00C36844">
        <w:t>This relationship</w:t>
      </w:r>
      <w:r>
        <w:t xml:space="preserve"> between cyclic activities and cyclic achievements</w:t>
      </w:r>
      <w:r w:rsidR="00C36844">
        <w:t xml:space="preserve"> is the focus of Nesset’s (t.i.) study of </w:t>
      </w:r>
      <w:r>
        <w:t xml:space="preserve">Russian </w:t>
      </w:r>
      <w:r w:rsidR="00C36844">
        <w:t xml:space="preserve">semelfactive verbs, which are associated with four properties: uniformity, instantaneousness, non-resultativity, and single occurrence. </w:t>
      </w:r>
      <w:r w:rsidR="00131D38">
        <w:t xml:space="preserve">Uniformity refers to a repeated cycle yielding conceptually identical acts, such that each wave is basically the same as every other wave. From the perspective of the observer, a wave is a very brief, instantaneous act. Waving is non-resultative because the hand returns after each wave to the same position and neither the hand (nor anything else) undergoes a change of state. In the cyclic achievement we witness just a single occurrence, in this case, just one wave. </w:t>
      </w:r>
      <w:r w:rsidR="004A683A">
        <w:t xml:space="preserve">While a prototypical example of a semelfactive verb in Russian will show all four properties, </w:t>
      </w:r>
      <w:r w:rsidR="00A87D08">
        <w:t xml:space="preserve">deviations are possible along all of these parameters. The occasionalism </w:t>
      </w:r>
      <w:r w:rsidR="00A87D08">
        <w:rPr>
          <w:i/>
        </w:rPr>
        <w:t>rabotnut’</w:t>
      </w:r>
      <w:r w:rsidR="00A87D08">
        <w:t xml:space="preserve"> ‘do one lick of work’ defies uniformity in that work is not usually conceived of as a series of identical cycles. </w:t>
      </w:r>
      <w:r w:rsidR="00A87D08">
        <w:rPr>
          <w:i/>
        </w:rPr>
        <w:t>Kutnut’</w:t>
      </w:r>
      <w:r w:rsidR="00A87D08">
        <w:t xml:space="preserve"> ‘go on a binge’ is non-instantaneous. </w:t>
      </w:r>
      <w:r w:rsidR="00A87D08">
        <w:rPr>
          <w:i/>
        </w:rPr>
        <w:t xml:space="preserve">Prygnut’ </w:t>
      </w:r>
      <w:r w:rsidR="00A87D08">
        <w:rPr>
          <w:i/>
          <w:lang w:val="cs-CZ"/>
        </w:rPr>
        <w:t>č</w:t>
      </w:r>
      <w:r w:rsidR="00A87D08">
        <w:rPr>
          <w:i/>
        </w:rPr>
        <w:t>erez zabor</w:t>
      </w:r>
      <w:r w:rsidR="00A87D08">
        <w:t xml:space="preserve"> ‘jump over the fence’ is arguably resultative in that the subject arrives at the other side of the fence. And semelfactives are compatible with quantifiers that specify multiple occurrences, as in </w:t>
      </w:r>
      <w:r w:rsidR="00A87D08">
        <w:rPr>
          <w:i/>
        </w:rPr>
        <w:t>kriknut’ tri raza</w:t>
      </w:r>
      <w:r w:rsidR="00A87D08">
        <w:t xml:space="preserve"> ‘</w:t>
      </w:r>
      <w:r w:rsidR="00C27E1F">
        <w:t>scream</w:t>
      </w:r>
      <w:r w:rsidR="00A87D08">
        <w:t xml:space="preserve"> three times’. </w:t>
      </w:r>
      <w:r w:rsidR="00503DFA">
        <w:t>Still, a single occurrence of a uniform, instantaneous and non-resultative act is the standard for recognizing a semelfactive event.</w:t>
      </w:r>
    </w:p>
    <w:p w14:paraId="6DB5AF04" w14:textId="0242B62B" w:rsidR="00503DFA" w:rsidRDefault="00503DFA">
      <w:r>
        <w:tab/>
        <w:t xml:space="preserve">Dickey (t.i.) describes a grammatical distinction present in Old and Middle Czech where in the third person the </w:t>
      </w:r>
      <w:r>
        <w:rPr>
          <w:i/>
        </w:rPr>
        <w:t>l</w:t>
      </w:r>
      <w:r>
        <w:t xml:space="preserve">-participle could occur either with or without the auxiliary verb. Dickey argues that when the auxiliary was present, as in </w:t>
      </w:r>
      <w:r>
        <w:rPr>
          <w:i/>
        </w:rPr>
        <w:t>vy</w:t>
      </w:r>
      <w:r>
        <w:rPr>
          <w:i/>
          <w:lang w:val="cs-CZ"/>
        </w:rPr>
        <w:t>š</w:t>
      </w:r>
      <w:r>
        <w:rPr>
          <w:i/>
        </w:rPr>
        <w:t>el jest</w:t>
      </w:r>
      <w:r>
        <w:t xml:space="preserve"> ‘he has gone out’</w:t>
      </w:r>
      <w:r w:rsidR="00AE4213">
        <w:t xml:space="preserve">, the effect </w:t>
      </w:r>
      <w:r w:rsidR="00C125C5">
        <w:t>wa</w:t>
      </w:r>
      <w:r w:rsidR="00AE4213">
        <w:t>s that of a</w:t>
      </w:r>
      <w:r w:rsidR="006A06CB">
        <w:t xml:space="preserve"> </w:t>
      </w:r>
      <w:r w:rsidR="00AE4213">
        <w:t xml:space="preserve">perfect with current relevance, where the state is profiled, as in Figure 5. By contrast, in an unauxiliated expression like </w:t>
      </w:r>
      <w:r w:rsidR="00AE4213">
        <w:rPr>
          <w:i/>
        </w:rPr>
        <w:t>vy</w:t>
      </w:r>
      <w:r w:rsidR="00AE4213">
        <w:rPr>
          <w:i/>
          <w:lang w:val="cs-CZ"/>
        </w:rPr>
        <w:t>š</w:t>
      </w:r>
      <w:r w:rsidR="00AE4213">
        <w:rPr>
          <w:i/>
        </w:rPr>
        <w:t xml:space="preserve">el </w:t>
      </w:r>
      <w:r w:rsidR="00AE4213">
        <w:t>‘he went out’, the state is not profiled, leaving only the transition, which could be diagrammed as in Figure 1.</w:t>
      </w:r>
    </w:p>
    <w:p w14:paraId="2586CD46" w14:textId="77777777" w:rsidR="00AE4213" w:rsidRDefault="00AE4213"/>
    <w:p w14:paraId="2A346BFA" w14:textId="56978450" w:rsidR="00C57838" w:rsidRDefault="00AE4213">
      <w:r>
        <w:t>Figure 5: Acquired state (Croft 2012: 58)</w:t>
      </w:r>
    </w:p>
    <w:p w14:paraId="0DBBD8C4" w14:textId="77777777" w:rsidR="006A06CB" w:rsidRDefault="006A06CB"/>
    <w:p w14:paraId="7A7799A9" w14:textId="3A756C32" w:rsidR="006A06CB" w:rsidRDefault="006A06CB">
      <w:r>
        <w:t>The distinction in Old and Middle Czech was thus between a construal that emphasized the final state expressed with the auxiliary, and a neutral past-tense construal without the auxiliary.</w:t>
      </w:r>
      <w:r w:rsidR="00A41A75">
        <w:t xml:space="preserve"> </w:t>
      </w:r>
    </w:p>
    <w:p w14:paraId="2F2F08E8" w14:textId="545332FD" w:rsidR="00A41A75" w:rsidRDefault="00A41A75">
      <w:r>
        <w:tab/>
        <w:t>Andersen</w:t>
      </w:r>
      <w:r w:rsidR="009A2AAB">
        <w:t xml:space="preserve"> (t.i.)</w:t>
      </w:r>
      <w:r>
        <w:t xml:space="preserve"> tracks</w:t>
      </w:r>
      <w:r w:rsidR="001555A9">
        <w:t xml:space="preserve"> the past tenses in</w:t>
      </w:r>
      <w:r>
        <w:t xml:space="preserve"> different stages of Common Slavic</w:t>
      </w:r>
      <w:r w:rsidR="001555A9">
        <w:t>. In both the early and the later period there is an aspectual distinction between aorist and imperfect, but in the middle period the two have merged to yield a single past tense.</w:t>
      </w:r>
      <w:r w:rsidR="009A2AAB">
        <w:t xml:space="preserve"> In the early period, the aspectual contours</w:t>
      </w:r>
      <w:r w:rsidR="001555A9">
        <w:t xml:space="preserve"> of Figure</w:t>
      </w:r>
      <w:r w:rsidR="009A2AAB">
        <w:t>s</w:t>
      </w:r>
      <w:r w:rsidR="001555A9">
        <w:t xml:space="preserve"> 1, </w:t>
      </w:r>
      <w:r w:rsidR="009A2AAB">
        <w:t xml:space="preserve">2 and 4 can represent the aorist for various verbs depending upon their construals, whereas Figure 3 can represent the imperfect. In effect, these contours have collapsed in the middle period, such that the qualitative state dimension is no longer </w:t>
      </w:r>
      <w:r w:rsidR="00C125C5">
        <w:t xml:space="preserve">grammatically </w:t>
      </w:r>
      <w:r w:rsidR="009A2AAB">
        <w:t xml:space="preserve">relevant, leaving only the time dimension, where the single remaining preterite only expresses tense. </w:t>
      </w:r>
    </w:p>
    <w:p w14:paraId="594EED04" w14:textId="7341D903" w:rsidR="006A06CB" w:rsidRPr="006A06CB" w:rsidRDefault="009A2AAB">
      <w:r>
        <w:tab/>
        <w:t xml:space="preserve">Sokolova’s (t.i.) study of the metaphorical interpretations of constructions with the verbs </w:t>
      </w:r>
      <w:r>
        <w:rPr>
          <w:i/>
        </w:rPr>
        <w:t>sypat’</w:t>
      </w:r>
      <w:r>
        <w:t xml:space="preserve"> ‘strew’ and </w:t>
      </w:r>
      <w:r>
        <w:rPr>
          <w:i/>
        </w:rPr>
        <w:t>gruzit’</w:t>
      </w:r>
      <w:r>
        <w:t xml:space="preserve"> ‘load’ </w:t>
      </w:r>
      <w:r w:rsidR="007E3AB7">
        <w:t>does not directly address</w:t>
      </w:r>
      <w:r>
        <w:t xml:space="preserve"> time and aspectual contours, but </w:t>
      </w:r>
      <w:r w:rsidR="007E3AB7">
        <w:t>Sokolova</w:t>
      </w:r>
      <w:r>
        <w:t xml:space="preserve"> does find that prefixed perfective v</w:t>
      </w:r>
      <w:r w:rsidR="007E3AB7">
        <w:t xml:space="preserve">erbs are more focused on objects and more likely to reify an event </w:t>
      </w:r>
      <w:r w:rsidR="00C125C5">
        <w:t>as</w:t>
      </w:r>
      <w:r w:rsidR="007E3AB7">
        <w:t xml:space="preserve"> a change of state. This process of reification facilitates metaphorical interpretation and is a good place to start our discussion of the evolution of contours of grammar in the following section.</w:t>
      </w:r>
    </w:p>
    <w:p w14:paraId="5EE973FD" w14:textId="77777777" w:rsidR="007F431A" w:rsidRDefault="007F431A"/>
    <w:p w14:paraId="34201E01" w14:textId="3EB1B7E2" w:rsidR="007F431A" w:rsidRDefault="00E15CD3">
      <w:r>
        <w:t xml:space="preserve">2. </w:t>
      </w:r>
      <w:r w:rsidR="00FE528C">
        <w:t>Evolution of</w:t>
      </w:r>
      <w:r w:rsidR="007F431A">
        <w:t xml:space="preserve"> the contours of </w:t>
      </w:r>
      <w:r w:rsidR="00FE528C">
        <w:t>grammar</w:t>
      </w:r>
    </w:p>
    <w:p w14:paraId="0C7354B0" w14:textId="4C9B0FB6" w:rsidR="00A336D2" w:rsidRDefault="00517581" w:rsidP="00A336D2">
      <w:r>
        <w:t>Sokolova</w:t>
      </w:r>
      <w:r w:rsidR="008F602D">
        <w:t xml:space="preserve"> (t.i.) shows that metaphor is not merely a conceptual mapping from a concrete domain to an abstract one, but can also be accompanied by differences in preferences for grammatical constructions. This usually means that the metaphorical expressions use a more restricted range of </w:t>
      </w:r>
      <w:r w:rsidR="00A336D2">
        <w:t xml:space="preserve">grammatical </w:t>
      </w:r>
      <w:r w:rsidR="008F602D">
        <w:t>constructions</w:t>
      </w:r>
      <w:r w:rsidR="00A336D2">
        <w:t xml:space="preserve"> and often prefer constructions that are less common for non-metaphorical uses. For example,</w:t>
      </w:r>
      <w:r w:rsidR="00A1272E">
        <w:t xml:space="preserve"> in non-metaphorical uses</w:t>
      </w:r>
      <w:r w:rsidR="00A336D2">
        <w:t xml:space="preserve"> </w:t>
      </w:r>
      <w:r w:rsidR="00A336D2" w:rsidRPr="00A1272E">
        <w:rPr>
          <w:i/>
        </w:rPr>
        <w:t>sypat’</w:t>
      </w:r>
      <w:r w:rsidR="00A336D2">
        <w:t xml:space="preserve"> ‘strew’ can be found in both the goal-object construction in (3) where the strawberries are the direct object</w:t>
      </w:r>
      <w:r w:rsidR="00A1272E">
        <w:t xml:space="preserve"> and thus the goal for the sugar</w:t>
      </w:r>
      <w:r w:rsidR="00A336D2">
        <w:t xml:space="preserve">, and in the theme-object construction in (4) where the </w:t>
      </w:r>
      <w:r w:rsidR="00A1272E">
        <w:t xml:space="preserve">goal is the casserole that the berries go into. There is also a hybrid construction in (5) that marks the theme (snow) with the instrumental case and the goal (windows) with a prepositional phrase. </w:t>
      </w:r>
    </w:p>
    <w:p w14:paraId="73B697C0" w14:textId="77777777" w:rsidR="00A1272E" w:rsidRDefault="00A1272E"/>
    <w:p w14:paraId="193E31B7" w14:textId="48AB8C64" w:rsidR="00A336D2" w:rsidRDefault="00A1272E">
      <w:r>
        <w:t xml:space="preserve">(3) </w:t>
      </w:r>
      <w:r w:rsidR="00A336D2" w:rsidRPr="00A1272E">
        <w:rPr>
          <w:i/>
        </w:rPr>
        <w:t>Zasyp’te klubniku saxarom</w:t>
      </w:r>
      <w:r>
        <w:t>.</w:t>
      </w:r>
    </w:p>
    <w:p w14:paraId="7835AC9F" w14:textId="54787505" w:rsidR="00A1272E" w:rsidRDefault="00A1272E">
      <w:r>
        <w:t>‘Cover the strawberries with sugar.’</w:t>
      </w:r>
    </w:p>
    <w:p w14:paraId="490307FB" w14:textId="421437CD" w:rsidR="00A1272E" w:rsidRDefault="00A1272E">
      <w:r>
        <w:tab/>
      </w:r>
    </w:p>
    <w:p w14:paraId="24CE5936" w14:textId="4A2BD304" w:rsidR="00A336D2" w:rsidRDefault="00A1272E">
      <w:r>
        <w:t xml:space="preserve">(4) </w:t>
      </w:r>
      <w:r w:rsidR="00A336D2" w:rsidRPr="00A1272E">
        <w:rPr>
          <w:i/>
        </w:rPr>
        <w:t>Zasyp’te jagody v kastrjulju</w:t>
      </w:r>
      <w:r>
        <w:t>.</w:t>
      </w:r>
    </w:p>
    <w:p w14:paraId="561910E4" w14:textId="7E9F1DC3" w:rsidR="00A336D2" w:rsidRDefault="00A1272E">
      <w:r>
        <w:t>‘Pour the berries into the casserole.’</w:t>
      </w:r>
    </w:p>
    <w:p w14:paraId="713CAC6D" w14:textId="77777777" w:rsidR="00A1272E" w:rsidRDefault="00A1272E"/>
    <w:p w14:paraId="1AA9E348" w14:textId="1D489E81" w:rsidR="00A336D2" w:rsidRDefault="00A1272E">
      <w:r>
        <w:t xml:space="preserve">(5) </w:t>
      </w:r>
      <w:r w:rsidRPr="00A1272E">
        <w:rPr>
          <w:i/>
        </w:rPr>
        <w:t>V</w:t>
      </w:r>
      <w:r w:rsidR="00A336D2" w:rsidRPr="00A1272E">
        <w:rPr>
          <w:i/>
        </w:rPr>
        <w:t>eter syplet snegom v okna</w:t>
      </w:r>
      <w:r>
        <w:t>.</w:t>
      </w:r>
    </w:p>
    <w:p w14:paraId="55759CFC" w14:textId="7BF33FAD" w:rsidR="00A1272E" w:rsidRDefault="00A1272E">
      <w:r>
        <w:t>‘The wind strews snow against the windows.’</w:t>
      </w:r>
    </w:p>
    <w:p w14:paraId="64AEBE4A" w14:textId="77777777" w:rsidR="000D2032" w:rsidRDefault="000D2032"/>
    <w:p w14:paraId="1EC70E1A" w14:textId="4ED7147C" w:rsidR="000D2032" w:rsidRDefault="000D2032">
      <w:r>
        <w:t xml:space="preserve">Metaphorical uses of </w:t>
      </w:r>
      <w:r w:rsidRPr="00A1272E">
        <w:rPr>
          <w:i/>
        </w:rPr>
        <w:t>sypat’</w:t>
      </w:r>
      <w:r>
        <w:t xml:space="preserve"> ‘strew’ focus on the hybrid construction, as in (6), and frequently use it in the reduced version (with the goal omitted), as in (7).</w:t>
      </w:r>
    </w:p>
    <w:p w14:paraId="502B1458" w14:textId="77777777" w:rsidR="000D2032" w:rsidRDefault="000D2032" w:rsidP="000D2032"/>
    <w:p w14:paraId="07AB2B87" w14:textId="04224F24" w:rsidR="000D2032" w:rsidRDefault="000D2032" w:rsidP="000D2032">
      <w:r>
        <w:t xml:space="preserve">(6) </w:t>
      </w:r>
      <w:r w:rsidRPr="000D2032">
        <w:rPr>
          <w:i/>
        </w:rPr>
        <w:t>On sypal citatami v sobesednika</w:t>
      </w:r>
      <w:r>
        <w:t>.</w:t>
      </w:r>
    </w:p>
    <w:p w14:paraId="3FE30ACE" w14:textId="2376C48C" w:rsidR="000D2032" w:rsidRDefault="000D2032" w:rsidP="000D2032">
      <w:r>
        <w:t>‘He strewed quotations at his interlocutor.’</w:t>
      </w:r>
    </w:p>
    <w:p w14:paraId="635E95A1" w14:textId="4642240D" w:rsidR="00A336D2" w:rsidRDefault="00A336D2"/>
    <w:p w14:paraId="7A5266E4" w14:textId="2ECEFA84" w:rsidR="00A336D2" w:rsidRDefault="000D2032">
      <w:r>
        <w:t xml:space="preserve">(7) </w:t>
      </w:r>
      <w:r w:rsidR="00A336D2" w:rsidRPr="000D2032">
        <w:rPr>
          <w:i/>
        </w:rPr>
        <w:t>On stal ugrjumym, sypal zlymi šutkami</w:t>
      </w:r>
      <w:r>
        <w:t>.</w:t>
      </w:r>
    </w:p>
    <w:p w14:paraId="6A3FDB5A" w14:textId="60F7BBD3" w:rsidR="000D2032" w:rsidRDefault="000D2032">
      <w:r>
        <w:t>‘He became gloomy and strewed angry jokes about.’</w:t>
      </w:r>
    </w:p>
    <w:p w14:paraId="4CE5EE3A" w14:textId="77777777" w:rsidR="00A336D2" w:rsidRDefault="00A336D2"/>
    <w:p w14:paraId="58636B1D" w14:textId="11AE2C97" w:rsidR="006D6365" w:rsidRDefault="006D6365">
      <w:r w:rsidRPr="006D6365">
        <w:rPr>
          <w:i/>
        </w:rPr>
        <w:t>Gruzit’</w:t>
      </w:r>
      <w:r>
        <w:t xml:space="preserve"> ‘load’ </w:t>
      </w:r>
      <w:r w:rsidR="00BC7AA1">
        <w:t xml:space="preserve">and </w:t>
      </w:r>
      <w:r>
        <w:t>also allows metaphorical uses, but these prefer the goal-object construction, often wi</w:t>
      </w:r>
      <w:r w:rsidR="00BC7AA1">
        <w:t>th the theme omitted, as in</w:t>
      </w:r>
      <w:r w:rsidR="00C24E16">
        <w:t xml:space="preserve"> the prefixed perfective</w:t>
      </w:r>
      <w:r w:rsidR="00BC7AA1">
        <w:t xml:space="preserve"> </w:t>
      </w:r>
      <w:r w:rsidR="00BC7AA1" w:rsidRPr="00341809">
        <w:rPr>
          <w:i/>
          <w:iCs/>
        </w:rPr>
        <w:t xml:space="preserve">zagruzit’ </w:t>
      </w:r>
      <w:r w:rsidR="00BC7AA1" w:rsidRPr="00341809">
        <w:rPr>
          <w:i/>
          <w:iCs/>
          <w:lang w:val="cs-CZ"/>
        </w:rPr>
        <w:t>č</w:t>
      </w:r>
      <w:r w:rsidR="00BC7AA1" w:rsidRPr="00341809">
        <w:rPr>
          <w:i/>
          <w:iCs/>
        </w:rPr>
        <w:t>eloveka</w:t>
      </w:r>
      <w:r w:rsidR="00BC7AA1" w:rsidRPr="00341809">
        <w:t xml:space="preserve"> </w:t>
      </w:r>
      <w:r w:rsidR="00BC7AA1">
        <w:t xml:space="preserve">lit. </w:t>
      </w:r>
      <w:r w:rsidR="00BC7AA1" w:rsidRPr="00341809">
        <w:t>‘load a person’</w:t>
      </w:r>
      <w:r w:rsidR="00BC7AA1">
        <w:t xml:space="preserve">, which means ‘confuse a person’ (with the omitted theme of </w:t>
      </w:r>
      <w:r w:rsidR="00BC7AA1">
        <w:rPr>
          <w:i/>
        </w:rPr>
        <w:t>informaciej</w:t>
      </w:r>
      <w:r w:rsidR="00BC7AA1">
        <w:t xml:space="preserve"> ‘with information’). </w:t>
      </w:r>
      <w:r w:rsidR="00967F0E">
        <w:t>Metaphorical use specifies not just the conceptual shift of mapping from the source domain (strewing or loading) to the target domain (speaking), but also specifies the range of grammatical constructions and their distribution differently from concrete use.</w:t>
      </w:r>
    </w:p>
    <w:p w14:paraId="446B80E9" w14:textId="64615FE3" w:rsidR="00351949" w:rsidRPr="00351949" w:rsidRDefault="007249E8">
      <w:r>
        <w:tab/>
        <w:t xml:space="preserve">Whereas metaphor reduces the range of a grammatical phenomenon in the case of </w:t>
      </w:r>
      <w:r>
        <w:rPr>
          <w:i/>
        </w:rPr>
        <w:t>sypat’</w:t>
      </w:r>
      <w:r>
        <w:t xml:space="preserve"> ‘strew’ and </w:t>
      </w:r>
      <w:r>
        <w:rPr>
          <w:i/>
        </w:rPr>
        <w:t>gruzit’</w:t>
      </w:r>
      <w:r>
        <w:t xml:space="preserve"> ‘load’, </w:t>
      </w:r>
      <w:r w:rsidR="008C2689">
        <w:t>Nesset tracks tendency</w:t>
      </w:r>
      <w:r w:rsidR="00351949" w:rsidRPr="00351949">
        <w:t xml:space="preserve"> </w:t>
      </w:r>
      <w:r w:rsidR="00351949">
        <w:t>in the opposite direction</w:t>
      </w:r>
      <w:r w:rsidR="008C2689">
        <w:t xml:space="preserve">, namely extension in the </w:t>
      </w:r>
      <w:r w:rsidR="00351949">
        <w:t xml:space="preserve">historical </w:t>
      </w:r>
      <w:r w:rsidR="008C2689">
        <w:t xml:space="preserve">development of semelfactive verbs </w:t>
      </w:r>
      <w:r w:rsidR="00351949">
        <w:t xml:space="preserve">in Russian. Old Church Slavonic probably did not have a well established category of semelfactive verbs, but there were seven verbs that referred to bodily acts that were arguably good candidates for semelfactives. An example is </w:t>
      </w:r>
      <w:r w:rsidR="00351949" w:rsidRPr="00351949">
        <w:rPr>
          <w:i/>
        </w:rPr>
        <w:t>plinǫti/pljunǫti</w:t>
      </w:r>
      <w:r w:rsidR="00351949">
        <w:t xml:space="preserve"> ‘spit’ which can be understood to refer to a single cycle of an activity consisting of repeated identical non-resultative spitting acts. The small cohort of Old Church Slavonic semelfactive candidate verbs all bore the </w:t>
      </w:r>
      <w:r w:rsidR="00351949" w:rsidRPr="00CB741D">
        <w:rPr>
          <w:i/>
        </w:rPr>
        <w:noBreakHyphen/>
        <w:t>nǫ</w:t>
      </w:r>
      <w:r w:rsidR="00351949" w:rsidRPr="00CB741D">
        <w:rPr>
          <w:i/>
        </w:rPr>
        <w:noBreakHyphen/>
      </w:r>
      <w:r w:rsidR="00351949">
        <w:rPr>
          <w:i/>
        </w:rPr>
        <w:t xml:space="preserve"> </w:t>
      </w:r>
      <w:r w:rsidR="00351949">
        <w:t xml:space="preserve">suffix, giving them a formal mark that </w:t>
      </w:r>
      <w:r w:rsidR="00F170DA">
        <w:t xml:space="preserve">was found in only fourteen unprefixed perfective verbs. The combination of similar semantics and shared morphology presented an opportunity for recognizing these verbs as a special group that could then be further extended. Not all Slavic languages realized this opportunity, but in Old Russian we see that by the 11th century the group of verbs referring to bodily acts has grown to 32 (with items such as </w:t>
      </w:r>
      <w:r w:rsidR="00F170DA">
        <w:rPr>
          <w:i/>
        </w:rPr>
        <w:t>maxnuti</w:t>
      </w:r>
      <w:r w:rsidR="00F170DA">
        <w:t xml:space="preserve"> ‘wave once’), a total of fifteen auditory and optical verbs (such as </w:t>
      </w:r>
      <w:r w:rsidR="00F170DA">
        <w:rPr>
          <w:i/>
        </w:rPr>
        <w:t>kriknuti</w:t>
      </w:r>
      <w:r w:rsidR="00F170DA">
        <w:t xml:space="preserve"> ‘scream’</w:t>
      </w:r>
      <w:r w:rsidR="00C27E1F">
        <w:t xml:space="preserve"> and </w:t>
      </w:r>
      <w:r w:rsidR="00C27E1F">
        <w:rPr>
          <w:i/>
        </w:rPr>
        <w:t>blesnuti</w:t>
      </w:r>
      <w:r w:rsidR="00C27E1F">
        <w:t xml:space="preserve"> ‘flash’</w:t>
      </w:r>
      <w:r w:rsidR="00F170DA">
        <w:t>) are added in the 12th and 13th centuries, and in the 17th century a verb of motion</w:t>
      </w:r>
      <w:r w:rsidR="00FF78EB">
        <w:t xml:space="preserve"> (</w:t>
      </w:r>
      <w:r w:rsidR="00FF78EB">
        <w:rPr>
          <w:i/>
        </w:rPr>
        <w:t>nyrnuti</w:t>
      </w:r>
      <w:r w:rsidR="00FF78EB">
        <w:t xml:space="preserve"> ‘dash off’)</w:t>
      </w:r>
      <w:r w:rsidR="00F170DA">
        <w:t xml:space="preserve"> appears. The semelfactive category continues to grow in Contemporary Standard Russian, </w:t>
      </w:r>
      <w:r w:rsidR="000838F9">
        <w:t xml:space="preserve">particularly </w:t>
      </w:r>
      <w:r w:rsidR="00F170DA">
        <w:t>with new verbs referring to behaviors</w:t>
      </w:r>
      <w:r w:rsidR="000838F9">
        <w:t xml:space="preserve"> (like </w:t>
      </w:r>
      <w:r w:rsidR="000838F9">
        <w:rPr>
          <w:i/>
        </w:rPr>
        <w:t xml:space="preserve">psixanut’ </w:t>
      </w:r>
      <w:r w:rsidR="000838F9">
        <w:t>‘freak out’)</w:t>
      </w:r>
      <w:r w:rsidR="00F170DA">
        <w:t>.</w:t>
      </w:r>
      <w:r w:rsidR="0049480E">
        <w:t xml:space="preserve"> Nesset gives us a detailed account of how this historical process progressed as the semelfactives became a clearly recognizable and productive part of the Russian aspectual system.</w:t>
      </w:r>
    </w:p>
    <w:p w14:paraId="28E655CE" w14:textId="1EC0BF6A" w:rsidR="00351949" w:rsidRDefault="0049480E">
      <w:r>
        <w:tab/>
        <w:t>Historical changes relating to Slavic aspect are also examined by both Andersen (t.i.) and Dickey (t.i.). Andersen (t.i.) details a complex set of changes</w:t>
      </w:r>
      <w:r w:rsidR="004761E0">
        <w:t xml:space="preserve"> in which an older imperfect vs. aorist distinction collapses, motivated by some partially overlapping paradigms, and then how a similar distinction was constructed anew by implementing an agglutinative string of affixes to build a new imperfect. As described in the previous section, the earliest and latest stages in this set of changes show an aspectual distinction that is attenuated in the middle stage, where the merged preterite expresses merely past tense. </w:t>
      </w:r>
    </w:p>
    <w:p w14:paraId="1C2F5EE0" w14:textId="2104B005" w:rsidR="00F778CD" w:rsidRPr="000E543F" w:rsidRDefault="00F778CD">
      <w:r>
        <w:tab/>
        <w:t xml:space="preserve">Dickey (t.i.) offers the first study of the loss of the auxiliary from the compound past tense in Old Czech. The Old Church Slavonic </w:t>
      </w:r>
      <w:r w:rsidRPr="000B2D8D">
        <w:rPr>
          <w:i/>
        </w:rPr>
        <w:t>esmь obidělъ</w:t>
      </w:r>
      <w:r>
        <w:t xml:space="preserve"> ‘I have offended’ perfect was inherited by all the Slavic languages, but in North Slavic this grammatical construction replaced both the aorist and imperfect as a generalized past tense. In Russian, for example, this happened rather early and the </w:t>
      </w:r>
      <w:r w:rsidR="000E543F">
        <w:t xml:space="preserve">auxiliary was also lost for all forms, whereas in Czech this change came later and resulted in the lost of the auxiliary only from the third person forms. Although in Modern Czech the remaining first and second person auxiliaries mark only person and number, in Old and Middle Czech there was variation between auxiliated and unauxiliated forms in the third person. Dickey makes the case that in approximately the 14th-16th centuries, there was a distinction between a real auxiliated perfect tense and a neutral unauxiliated past tense (see the difference in contours diagrammed in the preceding section). </w:t>
      </w:r>
      <w:r w:rsidR="00E705E3">
        <w:t>This was an opportunistic distinction motivated in part by an important difference</w:t>
      </w:r>
      <w:r w:rsidR="007556F4">
        <w:t xml:space="preserve"> between first and second person on the one hand as opposed to third person on the other. </w:t>
      </w:r>
      <w:r w:rsidR="00E705E3">
        <w:t xml:space="preserve"> </w:t>
      </w:r>
      <w:r w:rsidR="007556F4">
        <w:t>A</w:t>
      </w:r>
      <w:r w:rsidR="00E705E3">
        <w:t>n event presented in the third person</w:t>
      </w:r>
      <w:r w:rsidR="007556F4">
        <w:t xml:space="preserve"> normally references a neutral ground, which is maximally subjective in terms of the speaker and hearer. The speaker and hearer are thus “offstage” observers. First and second person expressions are by contrast necessarily objective in that the speaker and/or hearer are the observers that ground the reference; they are necessarily “onstage”. Whereas one cannot retain first or second person and at the same time remove them from the ground, there is a potential for variation in the third person, adding an “onstage” grounding role that makes the relevance of the result emphatic. </w:t>
      </w:r>
      <w:r w:rsidR="002A6B79">
        <w:t xml:space="preserve">In other words, the third person provides an opportunity to detect differences in an otherwise continuous domain of past time reference. </w:t>
      </w:r>
      <w:r w:rsidR="007556F4">
        <w:t>On the basis of corpus examples and statistical analyses, Dickey presents compelling evidence for this distinction</w:t>
      </w:r>
      <w:r w:rsidR="008B6747">
        <w:t>,</w:t>
      </w:r>
      <w:r w:rsidR="007556F4">
        <w:t xml:space="preserve"> which was active for several centuries before it was abandoned in the evolution of Modern Czech.</w:t>
      </w:r>
    </w:p>
    <w:p w14:paraId="3389A29A" w14:textId="77777777" w:rsidR="0049480E" w:rsidRDefault="0049480E"/>
    <w:p w14:paraId="0F4E2FAE" w14:textId="0B8B5C28" w:rsidR="007F431A" w:rsidRDefault="002A6B79">
      <w:r>
        <w:t>3. Concluding remarks</w:t>
      </w:r>
    </w:p>
    <w:p w14:paraId="5AC67BE1" w14:textId="1170C772" w:rsidR="002A6B79" w:rsidRDefault="002A6B79">
      <w:r>
        <w:t xml:space="preserve">The articles in this special issue make important contributions to contemporary linguistics both in terms of theory and in terms of descriptive detail. The account of time presented by Dahl comports well with what is known about metaphorical thinking and general cognitive strategies, which tend to seize upon opportunities for detecting discrete differences and for using them as points of reference. Dahl’s model of time is likewise compatible with Croft’s model of aspectual contours and furthermore the latter prove adequate to capture aspectual distinctions invoked by Andersen, Dickey, and Nesset. Historical changes </w:t>
      </w:r>
      <w:r w:rsidR="00EA2811">
        <w:t xml:space="preserve">are not merely losses and innovations, but complex aggregates of phenomena with various motives, including: morphological ones, as in the case of syncretic affixes  (Andersen) and the </w:t>
      </w:r>
      <w:r w:rsidR="00EA2811" w:rsidRPr="00CB741D">
        <w:rPr>
          <w:i/>
        </w:rPr>
        <w:noBreakHyphen/>
        <w:t>nǫ</w:t>
      </w:r>
      <w:r w:rsidR="00EA2811" w:rsidRPr="00CB741D">
        <w:rPr>
          <w:i/>
        </w:rPr>
        <w:noBreakHyphen/>
      </w:r>
      <w:r w:rsidR="00EA2811">
        <w:t xml:space="preserve"> &gt; </w:t>
      </w:r>
      <w:r w:rsidR="00EA2811">
        <w:rPr>
          <w:i/>
        </w:rPr>
        <w:t xml:space="preserve">-nu- </w:t>
      </w:r>
      <w:r w:rsidR="00EA2811">
        <w:t>suffix (Nesset); and semantic ones, as in the case of the semelfactive meaning (Nesset) and the meaning of current relevance (Dickey). In the development of metaphorical uses we also see syntactic motives (Sokolova). Taken together, these contributions point toward language as a harmonious if complex system in which the same strategies ap</w:t>
      </w:r>
      <w:r w:rsidR="00A8478A">
        <w:t>ply across various phenomena, creating the contours of grammar.</w:t>
      </w:r>
      <w:bookmarkStart w:id="0" w:name="_GoBack"/>
      <w:bookmarkEnd w:id="0"/>
    </w:p>
    <w:p w14:paraId="482F7006" w14:textId="77777777" w:rsidR="007F431A" w:rsidRDefault="007F431A"/>
    <w:p w14:paraId="6C04EB87" w14:textId="77777777" w:rsidR="00F4167F" w:rsidRDefault="00F4167F"/>
    <w:p w14:paraId="0BCA3D9D" w14:textId="77777777" w:rsidR="000A0FA3" w:rsidRDefault="000A0FA3"/>
    <w:p w14:paraId="68AA64EF" w14:textId="6EA459D2" w:rsidR="000A0FA3" w:rsidRDefault="009E5A84">
      <w:r>
        <w:t>References</w:t>
      </w:r>
    </w:p>
    <w:p w14:paraId="7CAC0763" w14:textId="77777777" w:rsidR="009E5A84" w:rsidRPr="00162FC4" w:rsidRDefault="009E5A84"/>
    <w:p w14:paraId="7739BA46" w14:textId="1EEA4189" w:rsidR="009E5A84" w:rsidRDefault="009E5A84" w:rsidP="009E5A84">
      <w:r>
        <w:t>Coulson</w:t>
      </w:r>
      <w:r w:rsidR="00162FC4">
        <w:t>, Seana.</w:t>
      </w:r>
      <w:r>
        <w:t xml:space="preserve"> 2006</w:t>
      </w:r>
      <w:r w:rsidR="00162FC4">
        <w:t xml:space="preserve">. Constructing meaning. </w:t>
      </w:r>
      <w:r w:rsidR="00162FC4">
        <w:rPr>
          <w:i/>
        </w:rPr>
        <w:t>Metaphor and symbol</w:t>
      </w:r>
      <w:r w:rsidR="00162FC4">
        <w:t xml:space="preserve"> 21, 245-266.</w:t>
      </w:r>
    </w:p>
    <w:p w14:paraId="46B81429" w14:textId="77777777" w:rsidR="00162FC4" w:rsidRPr="00162FC4" w:rsidRDefault="00162FC4" w:rsidP="009E5A84"/>
    <w:p w14:paraId="2C519B97" w14:textId="35F4BDED" w:rsidR="00162FC4" w:rsidRDefault="00162FC4" w:rsidP="00162FC4">
      <w:r>
        <w:t xml:space="preserve">Croft, William. 2012. </w:t>
      </w:r>
      <w:r>
        <w:rPr>
          <w:i/>
        </w:rPr>
        <w:t>Verbs. Aspect and Causal Structure.</w:t>
      </w:r>
      <w:r>
        <w:t xml:space="preserve"> Oxford: Oxford U Press.</w:t>
      </w:r>
    </w:p>
    <w:p w14:paraId="2EAB1DDD" w14:textId="77777777" w:rsidR="00162FC4" w:rsidRDefault="00162FC4" w:rsidP="00162FC4"/>
    <w:p w14:paraId="0092FC5B" w14:textId="4F769D41" w:rsidR="00162FC4" w:rsidRPr="00162FC4" w:rsidRDefault="00162FC4" w:rsidP="00162FC4">
      <w:r w:rsidRPr="00162FC4">
        <w:t xml:space="preserve">Langacker, </w:t>
      </w:r>
      <w:r>
        <w:t>Ronald W. 1987</w:t>
      </w:r>
      <w:r w:rsidRPr="00162FC4">
        <w:t xml:space="preserve">. </w:t>
      </w:r>
      <w:r w:rsidRPr="00162FC4">
        <w:rPr>
          <w:i/>
          <w:iCs/>
        </w:rPr>
        <w:t xml:space="preserve">Foundations of cognitive grammar: Theoretical prerequisites. </w:t>
      </w:r>
      <w:r w:rsidRPr="00162FC4">
        <w:t>Stanford, CA:</w:t>
      </w:r>
      <w:r>
        <w:t xml:space="preserve"> </w:t>
      </w:r>
      <w:r w:rsidRPr="00162FC4">
        <w:t>Stanford University Press.</w:t>
      </w:r>
    </w:p>
    <w:p w14:paraId="691A2D88" w14:textId="77777777" w:rsidR="00162FC4" w:rsidRDefault="00162FC4" w:rsidP="00162FC4"/>
    <w:p w14:paraId="6CC6E102" w14:textId="147BB6A2" w:rsidR="005F2FE3" w:rsidRPr="00162FC4" w:rsidRDefault="005F2FE3" w:rsidP="00162FC4">
      <w:r>
        <w:t>Langacker</w:t>
      </w:r>
      <w:r w:rsidR="00162FC4">
        <w:t>, Ronald W.</w:t>
      </w:r>
      <w:r>
        <w:t xml:space="preserve"> 2006</w:t>
      </w:r>
      <w:r w:rsidR="00162FC4">
        <w:t xml:space="preserve">. On the continuous debate about discreteness. </w:t>
      </w:r>
      <w:r w:rsidR="00162FC4">
        <w:rPr>
          <w:i/>
        </w:rPr>
        <w:t>Cognitive Linguistics</w:t>
      </w:r>
      <w:r w:rsidR="00162FC4">
        <w:t xml:space="preserve"> 17, 107-151.</w:t>
      </w:r>
    </w:p>
    <w:p w14:paraId="02DE893B" w14:textId="77777777" w:rsidR="005F2FE3" w:rsidRDefault="005F2FE3"/>
    <w:p w14:paraId="0B38FDFC" w14:textId="77777777" w:rsidR="005F2FE3" w:rsidRDefault="005F2FE3"/>
    <w:sectPr w:rsidR="005F2FE3" w:rsidSect="00F170DA">
      <w:headerReference w:type="even" r:id="rId7"/>
      <w:headerReference w:type="default" r:id="rId8"/>
      <w:pgSz w:w="11900" w:h="16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A72E0" w14:textId="77777777" w:rsidR="009E5A84" w:rsidRDefault="009E5A84" w:rsidP="00F170DA">
      <w:r>
        <w:separator/>
      </w:r>
    </w:p>
  </w:endnote>
  <w:endnote w:type="continuationSeparator" w:id="0">
    <w:p w14:paraId="101C642B" w14:textId="77777777" w:rsidR="009E5A84" w:rsidRDefault="009E5A84" w:rsidP="00F17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DEEAA" w14:textId="77777777" w:rsidR="009E5A84" w:rsidRDefault="009E5A84" w:rsidP="00F170DA">
      <w:r>
        <w:separator/>
      </w:r>
    </w:p>
  </w:footnote>
  <w:footnote w:type="continuationSeparator" w:id="0">
    <w:p w14:paraId="5BC41186" w14:textId="77777777" w:rsidR="009E5A84" w:rsidRDefault="009E5A84" w:rsidP="00F170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C4189" w14:textId="77777777" w:rsidR="009E5A84" w:rsidRDefault="009E5A84" w:rsidP="00F170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C8F90" w14:textId="77777777" w:rsidR="009E5A84" w:rsidRDefault="009E5A84" w:rsidP="00F170D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A63CC" w14:textId="77777777" w:rsidR="009E5A84" w:rsidRDefault="009E5A84" w:rsidP="00F170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478A">
      <w:rPr>
        <w:rStyle w:val="PageNumber"/>
        <w:noProof/>
      </w:rPr>
      <w:t>7</w:t>
    </w:r>
    <w:r>
      <w:rPr>
        <w:rStyle w:val="PageNumber"/>
      </w:rPr>
      <w:fldChar w:fldCharType="end"/>
    </w:r>
  </w:p>
  <w:p w14:paraId="754D11A2" w14:textId="77777777" w:rsidR="009E5A84" w:rsidRDefault="009E5A84" w:rsidP="00F170D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FE3"/>
    <w:rsid w:val="00071FD1"/>
    <w:rsid w:val="000737DA"/>
    <w:rsid w:val="000838F9"/>
    <w:rsid w:val="00096D2F"/>
    <w:rsid w:val="000A0FA3"/>
    <w:rsid w:val="000D2032"/>
    <w:rsid w:val="000E543F"/>
    <w:rsid w:val="00131D38"/>
    <w:rsid w:val="001463D2"/>
    <w:rsid w:val="001531C4"/>
    <w:rsid w:val="001555A9"/>
    <w:rsid w:val="00162FC4"/>
    <w:rsid w:val="00181CFA"/>
    <w:rsid w:val="001B5DF6"/>
    <w:rsid w:val="001C733A"/>
    <w:rsid w:val="00251CA5"/>
    <w:rsid w:val="002A6B79"/>
    <w:rsid w:val="002B0492"/>
    <w:rsid w:val="002D53DD"/>
    <w:rsid w:val="0030177C"/>
    <w:rsid w:val="00302659"/>
    <w:rsid w:val="003332C1"/>
    <w:rsid w:val="00351949"/>
    <w:rsid w:val="00355A79"/>
    <w:rsid w:val="003F01E8"/>
    <w:rsid w:val="004761E0"/>
    <w:rsid w:val="0049480E"/>
    <w:rsid w:val="004A683A"/>
    <w:rsid w:val="00503DFA"/>
    <w:rsid w:val="00516105"/>
    <w:rsid w:val="00517581"/>
    <w:rsid w:val="0054260A"/>
    <w:rsid w:val="00585199"/>
    <w:rsid w:val="005930E0"/>
    <w:rsid w:val="005936C4"/>
    <w:rsid w:val="005A668F"/>
    <w:rsid w:val="005E6EDF"/>
    <w:rsid w:val="005F2FE3"/>
    <w:rsid w:val="0068551A"/>
    <w:rsid w:val="006A06CB"/>
    <w:rsid w:val="006D6365"/>
    <w:rsid w:val="006D6933"/>
    <w:rsid w:val="006F2617"/>
    <w:rsid w:val="007249E8"/>
    <w:rsid w:val="00735110"/>
    <w:rsid w:val="007556F4"/>
    <w:rsid w:val="007A3F85"/>
    <w:rsid w:val="007E3AB7"/>
    <w:rsid w:val="007F431A"/>
    <w:rsid w:val="008B6747"/>
    <w:rsid w:val="008C2689"/>
    <w:rsid w:val="008E3CB6"/>
    <w:rsid w:val="008F602D"/>
    <w:rsid w:val="00930F99"/>
    <w:rsid w:val="00967F0E"/>
    <w:rsid w:val="009A2AAB"/>
    <w:rsid w:val="009C30C4"/>
    <w:rsid w:val="009E5A84"/>
    <w:rsid w:val="00A1272E"/>
    <w:rsid w:val="00A336D2"/>
    <w:rsid w:val="00A41A75"/>
    <w:rsid w:val="00A46CCC"/>
    <w:rsid w:val="00A52A7A"/>
    <w:rsid w:val="00A53CCD"/>
    <w:rsid w:val="00A8478A"/>
    <w:rsid w:val="00A87D08"/>
    <w:rsid w:val="00AC159A"/>
    <w:rsid w:val="00AE4213"/>
    <w:rsid w:val="00B7103C"/>
    <w:rsid w:val="00B73214"/>
    <w:rsid w:val="00BC7AA1"/>
    <w:rsid w:val="00BD1048"/>
    <w:rsid w:val="00C125C5"/>
    <w:rsid w:val="00C24E16"/>
    <w:rsid w:val="00C27E1F"/>
    <w:rsid w:val="00C36844"/>
    <w:rsid w:val="00C57838"/>
    <w:rsid w:val="00C67143"/>
    <w:rsid w:val="00CC3B9B"/>
    <w:rsid w:val="00D015F1"/>
    <w:rsid w:val="00D07A5A"/>
    <w:rsid w:val="00DC4F5E"/>
    <w:rsid w:val="00DF7783"/>
    <w:rsid w:val="00E15CD3"/>
    <w:rsid w:val="00E4033A"/>
    <w:rsid w:val="00E705E3"/>
    <w:rsid w:val="00EA2811"/>
    <w:rsid w:val="00F00BB8"/>
    <w:rsid w:val="00F170DA"/>
    <w:rsid w:val="00F35813"/>
    <w:rsid w:val="00F4167F"/>
    <w:rsid w:val="00F778CD"/>
    <w:rsid w:val="00FE528C"/>
    <w:rsid w:val="00FF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1EFF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wrd-expl">
    <w:name w:val="b-wrd-expl"/>
    <w:basedOn w:val="DefaultParagraphFont"/>
    <w:rsid w:val="00D07A5A"/>
  </w:style>
  <w:style w:type="character" w:customStyle="1" w:styleId="doc">
    <w:name w:val="doc"/>
    <w:basedOn w:val="DefaultParagraphFont"/>
    <w:rsid w:val="00D07A5A"/>
  </w:style>
  <w:style w:type="paragraph" w:styleId="Header">
    <w:name w:val="header"/>
    <w:basedOn w:val="Normal"/>
    <w:link w:val="HeaderChar"/>
    <w:uiPriority w:val="99"/>
    <w:unhideWhenUsed/>
    <w:rsid w:val="00F170DA"/>
    <w:pPr>
      <w:tabs>
        <w:tab w:val="center" w:pos="4320"/>
        <w:tab w:val="right" w:pos="8640"/>
      </w:tabs>
    </w:pPr>
  </w:style>
  <w:style w:type="character" w:customStyle="1" w:styleId="HeaderChar">
    <w:name w:val="Header Char"/>
    <w:basedOn w:val="DefaultParagraphFont"/>
    <w:link w:val="Header"/>
    <w:uiPriority w:val="99"/>
    <w:rsid w:val="00F170DA"/>
  </w:style>
  <w:style w:type="character" w:styleId="PageNumber">
    <w:name w:val="page number"/>
    <w:basedOn w:val="DefaultParagraphFont"/>
    <w:uiPriority w:val="99"/>
    <w:semiHidden/>
    <w:unhideWhenUsed/>
    <w:rsid w:val="00F170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wrd-expl">
    <w:name w:val="b-wrd-expl"/>
    <w:basedOn w:val="DefaultParagraphFont"/>
    <w:rsid w:val="00D07A5A"/>
  </w:style>
  <w:style w:type="character" w:customStyle="1" w:styleId="doc">
    <w:name w:val="doc"/>
    <w:basedOn w:val="DefaultParagraphFont"/>
    <w:rsid w:val="00D07A5A"/>
  </w:style>
  <w:style w:type="paragraph" w:styleId="Header">
    <w:name w:val="header"/>
    <w:basedOn w:val="Normal"/>
    <w:link w:val="HeaderChar"/>
    <w:uiPriority w:val="99"/>
    <w:unhideWhenUsed/>
    <w:rsid w:val="00F170DA"/>
    <w:pPr>
      <w:tabs>
        <w:tab w:val="center" w:pos="4320"/>
        <w:tab w:val="right" w:pos="8640"/>
      </w:tabs>
    </w:pPr>
  </w:style>
  <w:style w:type="character" w:customStyle="1" w:styleId="HeaderChar">
    <w:name w:val="Header Char"/>
    <w:basedOn w:val="DefaultParagraphFont"/>
    <w:link w:val="Header"/>
    <w:uiPriority w:val="99"/>
    <w:rsid w:val="00F170DA"/>
  </w:style>
  <w:style w:type="character" w:styleId="PageNumber">
    <w:name w:val="page number"/>
    <w:basedOn w:val="DefaultParagraphFont"/>
    <w:uiPriority w:val="99"/>
    <w:semiHidden/>
    <w:unhideWhenUsed/>
    <w:rsid w:val="00F17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7</Pages>
  <Words>3284</Words>
  <Characters>18724</Characters>
  <Application>Microsoft Macintosh Word</Application>
  <DocSecurity>0</DocSecurity>
  <Lines>156</Lines>
  <Paragraphs>43</Paragraphs>
  <ScaleCrop>false</ScaleCrop>
  <Company/>
  <LinksUpToDate>false</LinksUpToDate>
  <CharactersWithSpaces>21965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45</cp:revision>
  <dcterms:created xsi:type="dcterms:W3CDTF">2013-01-29T20:00:00Z</dcterms:created>
  <dcterms:modified xsi:type="dcterms:W3CDTF">2013-02-09T18:06:00Z</dcterms:modified>
</cp:coreProperties>
</file>