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1845D" w14:textId="263D86D1" w:rsidR="00B168C8" w:rsidRDefault="00625882">
      <w:r>
        <w:t>Metonymy and word-formation revisited</w:t>
      </w:r>
      <w:r w:rsidR="005778B4">
        <w:rPr>
          <w:rStyle w:val="FootnoteReference"/>
        </w:rPr>
        <w:footnoteReference w:customMarkFollows="1" w:id="1"/>
        <w:t>*</w:t>
      </w:r>
    </w:p>
    <w:p w14:paraId="5CAFD201" w14:textId="6B86CEA6" w:rsidR="00625882" w:rsidRDefault="00CA018C">
      <w:r>
        <w:t xml:space="preserve">Laura A. </w:t>
      </w:r>
      <w:proofErr w:type="spellStart"/>
      <w:r>
        <w:t>Janda</w:t>
      </w:r>
      <w:proofErr w:type="spellEnd"/>
      <w:r>
        <w:t>,</w:t>
      </w:r>
    </w:p>
    <w:p w14:paraId="6BEFD9E3" w14:textId="2DB2B9CE" w:rsidR="00CA018C" w:rsidRDefault="00CA018C">
      <w:r>
        <w:t>UiT The Arctic University of Norway</w:t>
      </w:r>
    </w:p>
    <w:p w14:paraId="1D766468" w14:textId="77777777" w:rsidR="00CA018C" w:rsidRDefault="00CA018C"/>
    <w:p w14:paraId="6018519E" w14:textId="77777777" w:rsidR="00625882" w:rsidRDefault="00625882">
      <w:r>
        <w:t>1.0 Introduction</w:t>
      </w:r>
    </w:p>
    <w:p w14:paraId="200011C3" w14:textId="58C04A89" w:rsidR="00625882" w:rsidRDefault="00A5419D">
      <w:proofErr w:type="spellStart"/>
      <w:r>
        <w:t>Brdar</w:t>
      </w:r>
      <w:proofErr w:type="spellEnd"/>
      <w:r>
        <w:t xml:space="preserve"> and </w:t>
      </w:r>
      <w:proofErr w:type="spellStart"/>
      <w:r>
        <w:t>Brdar-Szabó</w:t>
      </w:r>
      <w:proofErr w:type="spellEnd"/>
      <w:r>
        <w:t xml:space="preserve"> </w:t>
      </w:r>
      <w:r w:rsidR="00F615F1">
        <w:t>(this volume)</w:t>
      </w:r>
      <w:r w:rsidR="00625882">
        <w:t xml:space="preserve"> make a valuable contribution in that they identify an issue that has not received adequate attention in the scholarly literature, namely the relationship between metonymy and word-formation. We do indeed lack sufficient and thorough studies of this relationship. I welcome further investigations and debate on this issue.</w:t>
      </w:r>
    </w:p>
    <w:p w14:paraId="3DB626E1" w14:textId="22662455" w:rsidR="00625882" w:rsidRDefault="00625882">
      <w:r>
        <w:tab/>
        <w:t xml:space="preserve">In this rebuttal, I choose to put aside the polemical queries into </w:t>
      </w:r>
      <w:r w:rsidR="00904E52">
        <w:t xml:space="preserve">the quality of </w:t>
      </w:r>
      <w:r>
        <w:t xml:space="preserve">my </w:t>
      </w:r>
      <w:r w:rsidR="00904E52">
        <w:t>scholarship</w:t>
      </w:r>
      <w:r>
        <w:t xml:space="preserve"> raised by </w:t>
      </w:r>
      <w:proofErr w:type="spellStart"/>
      <w:r w:rsidR="00A5419D">
        <w:t>Brdar</w:t>
      </w:r>
      <w:proofErr w:type="spellEnd"/>
      <w:r w:rsidR="00A5419D">
        <w:t xml:space="preserve"> and </w:t>
      </w:r>
      <w:proofErr w:type="spellStart"/>
      <w:r w:rsidR="00A5419D">
        <w:t>Brdar-Szabó</w:t>
      </w:r>
      <w:proofErr w:type="spellEnd"/>
      <w:r w:rsidR="00A5419D">
        <w:t xml:space="preserve"> </w:t>
      </w:r>
      <w:r>
        <w:t>and focus instead on the key linguistic questions they raise. I will open with a concise restatement of the main points made in Janda 2011, and then turn to the issues regarding use of terminology, gradience in linguistic phenomena, and the role of context and domain in defining met</w:t>
      </w:r>
      <w:r w:rsidR="00B67C8C">
        <w:t xml:space="preserve">onymy. Before concluding I will </w:t>
      </w:r>
      <w:r w:rsidR="003B0C4C">
        <w:t>suggest</w:t>
      </w:r>
      <w:r w:rsidR="00B67C8C">
        <w:t xml:space="preserve"> some </w:t>
      </w:r>
      <w:r w:rsidR="00DA61FF">
        <w:t>revis</w:t>
      </w:r>
      <w:r w:rsidR="003B0C4C">
        <w:t>ions</w:t>
      </w:r>
      <w:r w:rsidR="00F758E2">
        <w:t xml:space="preserve"> </w:t>
      </w:r>
      <w:r w:rsidR="003B0C4C">
        <w:t xml:space="preserve">to the way that </w:t>
      </w:r>
      <w:proofErr w:type="spellStart"/>
      <w:r w:rsidR="00A5419D">
        <w:t>Brdar</w:t>
      </w:r>
      <w:proofErr w:type="spellEnd"/>
      <w:r w:rsidR="00A5419D">
        <w:t xml:space="preserve"> and </w:t>
      </w:r>
      <w:proofErr w:type="spellStart"/>
      <w:r w:rsidR="00A5419D">
        <w:t>Brdar-Szabó</w:t>
      </w:r>
      <w:proofErr w:type="spellEnd"/>
      <w:r w:rsidR="003B0C4C">
        <w:t xml:space="preserve"> represent</w:t>
      </w:r>
      <w:r w:rsidR="00F758E2">
        <w:t xml:space="preserve"> Janda 2011.</w:t>
      </w:r>
    </w:p>
    <w:p w14:paraId="0FFE52B1" w14:textId="77777777" w:rsidR="00625882" w:rsidRDefault="00625882"/>
    <w:p w14:paraId="2AB718AF" w14:textId="77777777" w:rsidR="00625882" w:rsidRDefault="00625882">
      <w:r>
        <w:t>2.0 Main points of Janda 2011</w:t>
      </w:r>
    </w:p>
    <w:p w14:paraId="00CF6631" w14:textId="73B4A9A9" w:rsidR="006924CA" w:rsidRDefault="006924CA">
      <w:r>
        <w:t xml:space="preserve">In Janda 2011 I presented a systematic empirical study of suffixal word-formation in Russian, Czech, and Norwegian. I showed that the cognitive strategy of using a </w:t>
      </w:r>
      <w:r w:rsidR="00DA61FF">
        <w:t xml:space="preserve">conceptual </w:t>
      </w:r>
      <w:r>
        <w:t>source to a</w:t>
      </w:r>
      <w:r w:rsidR="00DA61FF">
        <w:t xml:space="preserve">ccess a target was manifest in the vast majority of suffixal derivations in those three languages. A close comparison of the source-target patterns in my data with the patterns previously identified for lexical metonymy revealed robust parallels. This result is relevant to one of the core premises of cognitive linguistics, namely that phenomena of language can be accounted for by means of general cognitive strategies. In this case, I was able to show that the phenomena of suffixal word-formation </w:t>
      </w:r>
      <w:r w:rsidR="00BC4A55">
        <w:t xml:space="preserve">can be largely motivated by the general cognitive strategy of metonymic association. It is certainly possible to disagree about whether the examples of suffixal word-formation I presented </w:t>
      </w:r>
      <w:r w:rsidR="00904E52">
        <w:t>should</w:t>
      </w:r>
      <w:r w:rsidR="00BC4A55">
        <w:t xml:space="preserve"> be called “metonymies” (see section 3), however the parallels specified in Janda 2011 are valid regardless</w:t>
      </w:r>
      <w:r w:rsidR="00904E52">
        <w:t xml:space="preserve"> of </w:t>
      </w:r>
      <w:r w:rsidR="002626EC">
        <w:t xml:space="preserve">where one stands on </w:t>
      </w:r>
      <w:r w:rsidR="00904E52">
        <w:t>this terminological issue</w:t>
      </w:r>
      <w:r w:rsidR="00BC4A55">
        <w:t>.</w:t>
      </w:r>
      <w:r w:rsidR="00F73F42">
        <w:t xml:space="preserve"> The findings rest on a solid foundation of data.</w:t>
      </w:r>
      <w:r w:rsidR="00063088">
        <w:t xml:space="preserve"> In order to refute the main point of </w:t>
      </w:r>
      <w:proofErr w:type="spellStart"/>
      <w:r w:rsidR="00063088">
        <w:t>Janda</w:t>
      </w:r>
      <w:proofErr w:type="spellEnd"/>
      <w:r w:rsidR="00063088">
        <w:t xml:space="preserve"> 2011, it would be necessary to show that the patterns described therein are in fact not present.</w:t>
      </w:r>
    </w:p>
    <w:p w14:paraId="7CE8C240" w14:textId="77777777" w:rsidR="00BC4A55" w:rsidRDefault="00BC4A55"/>
    <w:p w14:paraId="6086D69D" w14:textId="77777777" w:rsidR="00625882" w:rsidRDefault="00625882">
      <w:r>
        <w:t>3.0 Use of terminology</w:t>
      </w:r>
    </w:p>
    <w:p w14:paraId="2671E9D0" w14:textId="23C4DB44" w:rsidR="00F73F42" w:rsidRDefault="00F73F42">
      <w:r>
        <w:t xml:space="preserve">Terminology is </w:t>
      </w:r>
      <w:r w:rsidR="00063088">
        <w:t xml:space="preserve">often a source of contention in academic disciplines. There is a dynamic tension between two laudable goals: one of maintaining rigor and control, and the other of discovering larger generalizations. Some scholars will prefer a more narrow definition of a given term, while others will prefer a broader one. In many instances the choice between a narrow vs. a broad interpretation cannot be arbitrated in absolute terms because neither choice is objectively better. Both choices come with their respective advantages and </w:t>
      </w:r>
      <w:r w:rsidR="00063088">
        <w:lastRenderedPageBreak/>
        <w:t>disadvantages. One can achieve tighter control at the expense of missing larger generalizations, or one can pursue generalizations facilitated by more open definitions.</w:t>
      </w:r>
    </w:p>
    <w:p w14:paraId="49217651" w14:textId="7C29B753" w:rsidR="00063088" w:rsidRDefault="00063088">
      <w:r>
        <w:tab/>
        <w:t xml:space="preserve">Because scholars tend to disagree on the use of terms, it is customary for academic articles to open with definitions that set the terms for a given study. This is how </w:t>
      </w:r>
      <w:r w:rsidR="00904E52">
        <w:t>my original article</w:t>
      </w:r>
      <w:r>
        <w:t xml:space="preserve"> begins -- with </w:t>
      </w:r>
      <w:r w:rsidR="00904E52">
        <w:t>this</w:t>
      </w:r>
      <w:r w:rsidR="002626EC">
        <w:t xml:space="preserve"> definition of metonymy</w:t>
      </w:r>
      <w:r w:rsidR="00904E52">
        <w:t>: “Metonymy is an inferential relationship between two concepts: a source concept is overtly named and provides mental access to a target concept in a given context” (</w:t>
      </w:r>
      <w:proofErr w:type="spellStart"/>
      <w:r w:rsidR="00904E52">
        <w:t>Janda</w:t>
      </w:r>
      <w:proofErr w:type="spellEnd"/>
      <w:r w:rsidR="00904E52">
        <w:t xml:space="preserve"> 2011: 360</w:t>
      </w:r>
      <w:r w:rsidR="002626EC">
        <w:t>; see further discussion of this definition in section 5</w:t>
      </w:r>
      <w:r w:rsidR="00904E52">
        <w:t>).</w:t>
      </w:r>
    </w:p>
    <w:p w14:paraId="57D8E2F5" w14:textId="6EFC1E19" w:rsidR="00063088" w:rsidRDefault="00063088">
      <w:r>
        <w:tab/>
        <w:t xml:space="preserve">In </w:t>
      </w:r>
      <w:proofErr w:type="spellStart"/>
      <w:r>
        <w:t>Janda</w:t>
      </w:r>
      <w:proofErr w:type="spellEnd"/>
      <w:r>
        <w:t xml:space="preserve"> 2011 I applied a broad definition of metonymy. Under this explicitly stated definition, I found evidence of consistent parallels between lexical metonymy and </w:t>
      </w:r>
      <w:proofErr w:type="spellStart"/>
      <w:r>
        <w:t>suffixal</w:t>
      </w:r>
      <w:proofErr w:type="spellEnd"/>
      <w:r>
        <w:t xml:space="preserve"> word-formation. These parallels are not merely postulated without evidence as claimed by </w:t>
      </w:r>
      <w:proofErr w:type="spellStart"/>
      <w:r w:rsidR="00A5419D">
        <w:t>Brdar</w:t>
      </w:r>
      <w:proofErr w:type="spellEnd"/>
      <w:r w:rsidR="00A5419D">
        <w:t xml:space="preserve"> and </w:t>
      </w:r>
      <w:proofErr w:type="spellStart"/>
      <w:r w:rsidR="00A5419D">
        <w:t>Brdar-Szabó</w:t>
      </w:r>
      <w:proofErr w:type="spellEnd"/>
      <w:r w:rsidR="002A3119">
        <w:t xml:space="preserve"> (cf. “</w:t>
      </w:r>
      <w:r w:rsidR="002A3119">
        <w:rPr>
          <w:iCs/>
          <w:lang w:val="en-GB" w:eastAsia="hu-HU"/>
        </w:rPr>
        <w:t>hardly any direct evidence</w:t>
      </w:r>
      <w:r w:rsidR="002A3119">
        <w:t>”, “</w:t>
      </w:r>
      <w:r w:rsidR="002A3119">
        <w:rPr>
          <w:lang w:val="en-GB"/>
        </w:rPr>
        <w:t>simply no empirical evidence</w:t>
      </w:r>
      <w:r w:rsidR="002A3119">
        <w:t>”, “</w:t>
      </w:r>
      <w:r w:rsidR="002A3119">
        <w:rPr>
          <w:lang w:val="en-GB"/>
        </w:rPr>
        <w:t>again provides practically no evidence</w:t>
      </w:r>
      <w:r w:rsidR="002A3119">
        <w:t>”)</w:t>
      </w:r>
      <w:r>
        <w:t xml:space="preserve">. I analyzed hundreds of examples collected in a conscious effort to represent the entire systems of </w:t>
      </w:r>
      <w:proofErr w:type="spellStart"/>
      <w:r>
        <w:t>suffixal</w:t>
      </w:r>
      <w:proofErr w:type="spellEnd"/>
      <w:r>
        <w:t xml:space="preserve"> derivation in </w:t>
      </w:r>
      <w:r w:rsidR="005D10AB">
        <w:t xml:space="preserve">the three languages, and the parallels emerged from </w:t>
      </w:r>
      <w:r w:rsidR="00161792">
        <w:t xml:space="preserve">careful analysis of </w:t>
      </w:r>
      <w:r w:rsidR="005D10AB">
        <w:t>the data.</w:t>
      </w:r>
    </w:p>
    <w:p w14:paraId="66DE3B01" w14:textId="062BE364" w:rsidR="005D10AB" w:rsidRDefault="005D10AB">
      <w:r>
        <w:tab/>
        <w:t xml:space="preserve">Other scholars are certainly welcome to choose a more narrow definition of metonymy and proceed from such a definition. Those who prefer a more narrow definition will have to find some other way to account for the findings in </w:t>
      </w:r>
      <w:proofErr w:type="spellStart"/>
      <w:r>
        <w:t>Janda</w:t>
      </w:r>
      <w:proofErr w:type="spellEnd"/>
      <w:r>
        <w:t xml:space="preserve"> 2011, either by hedging, perhaps calling them “metonymy-like”, or by calling them something else altogether. The latter solution entails ignoring the relation to metonymy, which means that we lose a systematic generalization.</w:t>
      </w:r>
    </w:p>
    <w:p w14:paraId="2FE42F0F" w14:textId="77777777" w:rsidR="00625882" w:rsidRDefault="00625882"/>
    <w:p w14:paraId="5FEE2D1C" w14:textId="77777777" w:rsidR="00625882" w:rsidRDefault="00625882">
      <w:r>
        <w:t>4.0 Gradience in language</w:t>
      </w:r>
    </w:p>
    <w:p w14:paraId="6B0174C1" w14:textId="3FC9D760" w:rsidR="00E94103" w:rsidRDefault="00B008C2">
      <w:r>
        <w:t xml:space="preserve">Linguistic </w:t>
      </w:r>
      <w:proofErr w:type="spellStart"/>
      <w:r>
        <w:t>gradience</w:t>
      </w:r>
      <w:proofErr w:type="spellEnd"/>
      <w:r>
        <w:t xml:space="preserve"> is relevant with respect to both the general relationship between lexicon and grammar and the more specific relationship between metonymy and word-formation. The </w:t>
      </w:r>
      <w:proofErr w:type="spellStart"/>
      <w:r>
        <w:t>gradience</w:t>
      </w:r>
      <w:proofErr w:type="spellEnd"/>
      <w:r>
        <w:t xml:space="preserve"> of linguistic phenomena is often more pervasive than we expect. Anyone who ha</w:t>
      </w:r>
      <w:r w:rsidR="000B7667">
        <w:t>s</w:t>
      </w:r>
      <w:r>
        <w:t xml:space="preserve"> worked with corpus and/or experimental data has discovered that some distinctions traditionally described in simple absolute terms turn out to be complex and scalar.</w:t>
      </w:r>
    </w:p>
    <w:p w14:paraId="0402B7C0" w14:textId="18D8FBD1" w:rsidR="006F60AC" w:rsidRDefault="00B008C2" w:rsidP="006F60AC">
      <w:r>
        <w:tab/>
      </w:r>
      <w:proofErr w:type="spellStart"/>
      <w:r w:rsidR="00A5419D">
        <w:t>Brdar</w:t>
      </w:r>
      <w:proofErr w:type="spellEnd"/>
      <w:r w:rsidR="00A5419D">
        <w:t xml:space="preserve"> and </w:t>
      </w:r>
      <w:proofErr w:type="spellStart"/>
      <w:r w:rsidR="00A5419D">
        <w:t>Brdar-Szabó</w:t>
      </w:r>
      <w:proofErr w:type="spellEnd"/>
      <w:r w:rsidR="00A5419D">
        <w:t xml:space="preserve"> </w:t>
      </w:r>
      <w:r w:rsidR="006F60AC">
        <w:t>state that “</w:t>
      </w:r>
      <w:proofErr w:type="spellStart"/>
      <w:r w:rsidR="006F60AC">
        <w:rPr>
          <w:iCs/>
          <w:lang w:val="en-GB" w:eastAsia="hu-HU"/>
        </w:rPr>
        <w:t>Janda</w:t>
      </w:r>
      <w:proofErr w:type="spellEnd"/>
      <w:r w:rsidR="006F60AC">
        <w:rPr>
          <w:iCs/>
          <w:lang w:val="en-GB" w:eastAsia="hu-HU"/>
        </w:rPr>
        <w:t xml:space="preserve"> begins by </w:t>
      </w:r>
      <w:r w:rsidR="006F60AC">
        <w:rPr>
          <w:lang w:val="en-GB" w:bidi="ar-EG"/>
        </w:rPr>
        <w:t>drawing a parallel</w:t>
      </w:r>
      <w:r w:rsidR="006F60AC" w:rsidRPr="00CB2A92">
        <w:rPr>
          <w:lang w:val="en-GB" w:bidi="ar-EG"/>
        </w:rPr>
        <w:t xml:space="preserve"> between lexical metonymy and word-formation metonymy</w:t>
      </w:r>
      <w:r w:rsidR="006F60AC">
        <w:t xml:space="preserve">”, using examples like </w:t>
      </w:r>
      <w:r w:rsidR="006F60AC">
        <w:rPr>
          <w:i/>
        </w:rPr>
        <w:t>The milk tipped over</w:t>
      </w:r>
      <w:r w:rsidR="006F60AC">
        <w:t xml:space="preserve"> to illustrate lexical metonymy and examples like Czech </w:t>
      </w:r>
      <w:proofErr w:type="spellStart"/>
      <w:r w:rsidR="006F60AC">
        <w:rPr>
          <w:i/>
        </w:rPr>
        <w:t>kv</w:t>
      </w:r>
      <w:r w:rsidR="006F60AC">
        <w:rPr>
          <w:i/>
          <w:lang w:val="cs-CZ"/>
        </w:rPr>
        <w:t>ětináč</w:t>
      </w:r>
      <w:proofErr w:type="spellEnd"/>
      <w:r w:rsidR="006F60AC">
        <w:rPr>
          <w:i/>
        </w:rPr>
        <w:t xml:space="preserve"> </w:t>
      </w:r>
      <w:r w:rsidR="006F60AC">
        <w:t>‘flower-pot’ to illustrate word-formation metonymy</w:t>
      </w:r>
      <w:r w:rsidR="006F60AC">
        <w:rPr>
          <w:smallCaps/>
        </w:rPr>
        <w:t xml:space="preserve">. </w:t>
      </w:r>
      <w:r w:rsidR="006F60AC">
        <w:t>This statement is followed by the claim that “</w:t>
      </w:r>
      <w:r w:rsidR="006F60AC">
        <w:rPr>
          <w:lang w:val="en-GB"/>
        </w:rPr>
        <w:t>it is odd that lexical metonymy should be distinguished from word-formation metonymy, or grammatical metonymy</w:t>
      </w:r>
      <w:r w:rsidR="006F60AC">
        <w:t>” and further that such a distinction between lexicon and grammar “</w:t>
      </w:r>
      <w:r w:rsidR="006F60AC">
        <w:rPr>
          <w:lang w:val="en-GB"/>
        </w:rPr>
        <w:t>goes against the very grain of cognitive linguistics</w:t>
      </w:r>
      <w:r w:rsidR="006F60AC">
        <w:t xml:space="preserve">”. </w:t>
      </w:r>
    </w:p>
    <w:p w14:paraId="774FF2A6" w14:textId="77777777" w:rsidR="006F60AC" w:rsidRDefault="006F60AC" w:rsidP="006F60AC">
      <w:r>
        <w:tab/>
        <w:t xml:space="preserve">I would argue that drawing a parallel does not constitute drawing a boundary. A parallel can be drawn across parts of a continuum. Furthermore, the lack of a clear boundary between lexicon and grammar does not prevent us from recognizing any difference at all. A linguist is justified in sorting most words into the lexicon and most grammatical function markers (such as case, number, and tense inflections) into the grammar, provided of course that s/he is sensitive to transitional phenomena. Cf. </w:t>
      </w:r>
      <w:proofErr w:type="spellStart"/>
      <w:r>
        <w:t>Langacker’s</w:t>
      </w:r>
      <w:proofErr w:type="spellEnd"/>
      <w:r>
        <w:t xml:space="preserve"> (2013: 6-7) statement on this matter:</w:t>
      </w:r>
    </w:p>
    <w:p w14:paraId="511CC975" w14:textId="77777777" w:rsidR="006F60AC" w:rsidRDefault="006F60AC" w:rsidP="006F60AC">
      <w:pPr>
        <w:ind w:left="360" w:right="380"/>
      </w:pPr>
      <w:r>
        <w:t xml:space="preserve">Overlap among lexicon, morphology, and syntax does not prevent us from defining them and drawing useful distinctions, any more than the absence of a precise boundary between green and blue condemns us to seeing only </w:t>
      </w:r>
      <w:proofErr w:type="spellStart"/>
      <w:r>
        <w:t>grue</w:t>
      </w:r>
      <w:proofErr w:type="spellEnd"/>
      <w:r>
        <w:t xml:space="preserve"> -- a gradation does not imply undifferentiated homogeneity.</w:t>
      </w:r>
    </w:p>
    <w:p w14:paraId="306DB20C" w14:textId="0B31792F" w:rsidR="006563EB" w:rsidRDefault="006563EB" w:rsidP="006F60AC">
      <w:r>
        <w:tab/>
      </w:r>
      <w:r>
        <w:rPr>
          <w:i/>
        </w:rPr>
        <w:t>The milk tipped over</w:t>
      </w:r>
      <w:r>
        <w:t xml:space="preserve"> is a prototypical and oft-cited example of lexical metonymy. Czech </w:t>
      </w:r>
      <w:proofErr w:type="spellStart"/>
      <w:r>
        <w:rPr>
          <w:i/>
        </w:rPr>
        <w:t>kv</w:t>
      </w:r>
      <w:r>
        <w:rPr>
          <w:i/>
          <w:lang w:val="cs-CZ"/>
        </w:rPr>
        <w:t>ětináč</w:t>
      </w:r>
      <w:proofErr w:type="spellEnd"/>
      <w:r>
        <w:rPr>
          <w:i/>
        </w:rPr>
        <w:t xml:space="preserve"> </w:t>
      </w:r>
      <w:r>
        <w:t xml:space="preserve">‘flower-pot’ represents a parallel shift in which a container is accessed by reference to its contents, but here the shift is achieved by overt grammatical means. The fact that lexicon and grammar belong to a single continuum does not blind a linguist from seeing that </w:t>
      </w:r>
      <w:r>
        <w:rPr>
          <w:i/>
        </w:rPr>
        <w:t>milk</w:t>
      </w:r>
      <w:r>
        <w:t xml:space="preserve"> undergoes the shift as a monomorphemic lexeme, whereas with </w:t>
      </w:r>
      <w:proofErr w:type="spellStart"/>
      <w:r>
        <w:rPr>
          <w:i/>
        </w:rPr>
        <w:t>kv</w:t>
      </w:r>
      <w:r>
        <w:rPr>
          <w:i/>
          <w:lang w:val="cs-CZ"/>
        </w:rPr>
        <w:t>ětináč</w:t>
      </w:r>
      <w:proofErr w:type="spellEnd"/>
      <w:r>
        <w:rPr>
          <w:i/>
        </w:rPr>
        <w:t xml:space="preserve"> </w:t>
      </w:r>
      <w:r>
        <w:t xml:space="preserve">‘flower-pot’ the shift is achieved via derivation. </w:t>
      </w:r>
    </w:p>
    <w:p w14:paraId="6D150756" w14:textId="69FA2001" w:rsidR="006563EB" w:rsidRDefault="006563EB">
      <w:r>
        <w:tab/>
      </w:r>
      <w:r w:rsidR="00E83238">
        <w:t xml:space="preserve">Given a narrow definition of metonymy like that preferred by </w:t>
      </w:r>
      <w:proofErr w:type="spellStart"/>
      <w:r w:rsidR="00A5419D">
        <w:t>Brdar</w:t>
      </w:r>
      <w:proofErr w:type="spellEnd"/>
      <w:r w:rsidR="00A5419D">
        <w:t xml:space="preserve"> and </w:t>
      </w:r>
      <w:proofErr w:type="spellStart"/>
      <w:r w:rsidR="00A5419D">
        <w:t>Brdar-Szabó</w:t>
      </w:r>
      <w:proofErr w:type="spellEnd"/>
      <w:r w:rsidR="00E83238">
        <w:t>, it is necessary to exclude metonymy from word-formation. One then has to decide exactly where to draw the line. There are instances of gradation in the relationship between lexical metonymy and grammatical (word-formational) metonymy that provide challenges. Lipka (1992: 121) gives these examples:</w:t>
      </w:r>
    </w:p>
    <w:p w14:paraId="7EE52DBB" w14:textId="77777777" w:rsidR="00E83238" w:rsidRDefault="00E83238"/>
    <w:p w14:paraId="78C13F8B" w14:textId="39DB625F" w:rsidR="00E83238" w:rsidRDefault="00E83238">
      <w:r>
        <w:t>(1)</w:t>
      </w:r>
      <w:r>
        <w:tab/>
        <w:t>a.</w:t>
      </w:r>
      <w:r>
        <w:tab/>
      </w:r>
      <w:r w:rsidRPr="00E83238">
        <w:rPr>
          <w:i/>
        </w:rPr>
        <w:t>host</w:t>
      </w:r>
      <w:r>
        <w:t xml:space="preserve"> n.</w:t>
      </w:r>
      <w:r>
        <w:tab/>
      </w:r>
      <w:r>
        <w:tab/>
        <w:t>→</w:t>
      </w:r>
      <w:r>
        <w:tab/>
      </w:r>
      <w:r w:rsidRPr="00E83238">
        <w:rPr>
          <w:i/>
        </w:rPr>
        <w:t>hostØ</w:t>
      </w:r>
      <w:r>
        <w:t xml:space="preserve"> v. ‘be, act as a host’</w:t>
      </w:r>
    </w:p>
    <w:p w14:paraId="3059ABA2" w14:textId="4A789593" w:rsidR="00E83238" w:rsidRDefault="00E83238">
      <w:r>
        <w:tab/>
        <w:t>b.</w:t>
      </w:r>
      <w:r>
        <w:tab/>
      </w:r>
      <w:proofErr w:type="gramStart"/>
      <w:r w:rsidRPr="00E83238">
        <w:rPr>
          <w:i/>
        </w:rPr>
        <w:t>patron</w:t>
      </w:r>
      <w:proofErr w:type="gramEnd"/>
      <w:r>
        <w:t xml:space="preserve"> n.</w:t>
      </w:r>
      <w:r>
        <w:tab/>
        <w:t>→</w:t>
      </w:r>
      <w:r>
        <w:tab/>
      </w:r>
      <w:r w:rsidRPr="00E83238">
        <w:rPr>
          <w:i/>
        </w:rPr>
        <w:t>patron</w:t>
      </w:r>
      <w:r>
        <w:t>/</w:t>
      </w:r>
      <w:r w:rsidRPr="00E83238">
        <w:rPr>
          <w:i/>
        </w:rPr>
        <w:t>ize</w:t>
      </w:r>
      <w:r>
        <w:t xml:space="preserve"> v. ‘be, act as a patron’</w:t>
      </w:r>
    </w:p>
    <w:p w14:paraId="4830915F" w14:textId="77777777" w:rsidR="00671AE2" w:rsidRDefault="00671AE2"/>
    <w:p w14:paraId="099E54AB" w14:textId="7C520BA5" w:rsidR="00B83FB0" w:rsidRDefault="00E83238">
      <w:r>
        <w:t xml:space="preserve">Most linguists agree that conversion as in (1a) is metonymic. </w:t>
      </w:r>
      <w:proofErr w:type="spellStart"/>
      <w:r w:rsidR="000B441D">
        <w:t>Brdar</w:t>
      </w:r>
      <w:proofErr w:type="spellEnd"/>
      <w:r w:rsidR="000B441D">
        <w:t xml:space="preserve"> and </w:t>
      </w:r>
      <w:proofErr w:type="spellStart"/>
      <w:r w:rsidR="000B441D">
        <w:t>Brdar-Szabó</w:t>
      </w:r>
      <w:proofErr w:type="spellEnd"/>
      <w:r>
        <w:t xml:space="preserve"> recognize metonymy only in relation to whole words, not suffixes</w:t>
      </w:r>
      <w:r w:rsidR="004F3324">
        <w:t xml:space="preserve"> (“</w:t>
      </w:r>
      <w:r w:rsidR="004F3324">
        <w:rPr>
          <w:lang w:val="en-GB" w:bidi="ar-EG"/>
        </w:rPr>
        <w:t>it is not suffixes that exhibit metonymy, ... but whole words</w:t>
      </w:r>
      <w:r w:rsidR="004F3324">
        <w:t>”)</w:t>
      </w:r>
      <w:r>
        <w:t xml:space="preserve">, so the </w:t>
      </w:r>
      <w:r w:rsidR="00C95F4D">
        <w:t>relationship</w:t>
      </w:r>
      <w:r>
        <w:t xml:space="preserve"> between Lipka’s examples cannot </w:t>
      </w:r>
      <w:r w:rsidR="000A2BF2">
        <w:t xml:space="preserve">be drawn under their definition of metonymy. </w:t>
      </w:r>
      <w:r w:rsidR="00B83FB0">
        <w:t>Regardless of one’s preferred definition of metonymy, one would want to recognize the parallel between (1a) and (1b).</w:t>
      </w:r>
    </w:p>
    <w:p w14:paraId="0F0F0EFC" w14:textId="47DDC16C" w:rsidR="00E83238" w:rsidRDefault="00B83FB0">
      <w:r>
        <w:tab/>
      </w:r>
      <w:r w:rsidR="000A2BF2">
        <w:t xml:space="preserve">If we return </w:t>
      </w:r>
      <w:r w:rsidR="00EA2BD7">
        <w:t xml:space="preserve">to </w:t>
      </w:r>
      <w:r w:rsidR="00EA2BD7">
        <w:rPr>
          <w:i/>
        </w:rPr>
        <w:t>milk</w:t>
      </w:r>
      <w:r w:rsidR="00EA2BD7">
        <w:t>, we can see a cline from clearly lexical to clearly word-formational expressions, all involving metonymic (or “metonymic-like”) patterns:</w:t>
      </w:r>
    </w:p>
    <w:p w14:paraId="3E07037F" w14:textId="77777777" w:rsidR="00EA2BD7" w:rsidRDefault="00EA2BD7"/>
    <w:tbl>
      <w:tblPr>
        <w:tblStyle w:val="TableGrid"/>
        <w:tblW w:w="0" w:type="auto"/>
        <w:tblLook w:val="04A0" w:firstRow="1" w:lastRow="0" w:firstColumn="1" w:lastColumn="0" w:noHBand="0" w:noVBand="1"/>
      </w:tblPr>
      <w:tblGrid>
        <w:gridCol w:w="1703"/>
        <w:gridCol w:w="1703"/>
        <w:gridCol w:w="1703"/>
        <w:gridCol w:w="1703"/>
        <w:gridCol w:w="1704"/>
      </w:tblGrid>
      <w:tr w:rsidR="00EA2BD7" w14:paraId="465F7EE3" w14:textId="77777777" w:rsidTr="00EA2BD7">
        <w:tc>
          <w:tcPr>
            <w:tcW w:w="1703" w:type="dxa"/>
          </w:tcPr>
          <w:p w14:paraId="0915DAAD" w14:textId="2E08413C" w:rsidR="00EA2BD7" w:rsidRDefault="00EA2BD7">
            <w:proofErr w:type="gramStart"/>
            <w:r>
              <w:t>no</w:t>
            </w:r>
            <w:proofErr w:type="gramEnd"/>
            <w:r>
              <w:t xml:space="preserve"> derivation</w:t>
            </w:r>
          </w:p>
        </w:tc>
        <w:tc>
          <w:tcPr>
            <w:tcW w:w="1703" w:type="dxa"/>
          </w:tcPr>
          <w:p w14:paraId="2672E788" w14:textId="0DBB746A" w:rsidR="00EA2BD7" w:rsidRDefault="00EA2BD7">
            <w:proofErr w:type="gramStart"/>
            <w:r w:rsidRPr="00EA2BD7">
              <w:rPr>
                <w:i/>
              </w:rPr>
              <w:t>milk</w:t>
            </w:r>
            <w:proofErr w:type="gramEnd"/>
            <w:r>
              <w:t xml:space="preserve"> n.</w:t>
            </w:r>
          </w:p>
        </w:tc>
        <w:tc>
          <w:tcPr>
            <w:tcW w:w="1703" w:type="dxa"/>
          </w:tcPr>
          <w:p w14:paraId="2129073A" w14:textId="4B246E21" w:rsidR="00EA2BD7" w:rsidRDefault="00EA2BD7" w:rsidP="00EA2BD7">
            <w:proofErr w:type="gramStart"/>
            <w:r>
              <w:t>lexeme</w:t>
            </w:r>
            <w:proofErr w:type="gramEnd"/>
          </w:p>
        </w:tc>
        <w:tc>
          <w:tcPr>
            <w:tcW w:w="1703" w:type="dxa"/>
          </w:tcPr>
          <w:p w14:paraId="3E07061A" w14:textId="6CE93A2E" w:rsidR="00EA2BD7" w:rsidRPr="00EA2BD7" w:rsidRDefault="00EA2BD7">
            <w:pPr>
              <w:rPr>
                <w:smallCaps/>
              </w:rPr>
            </w:pPr>
            <w:r w:rsidRPr="00EA2BD7">
              <w:rPr>
                <w:smallCaps/>
              </w:rPr>
              <w:t>contained for container</w:t>
            </w:r>
          </w:p>
        </w:tc>
        <w:tc>
          <w:tcPr>
            <w:tcW w:w="1704" w:type="dxa"/>
          </w:tcPr>
          <w:p w14:paraId="2E81D89B" w14:textId="5C4F567B" w:rsidR="00EA2BD7" w:rsidRPr="00EA2BD7" w:rsidRDefault="00EA2BD7">
            <w:pPr>
              <w:rPr>
                <w:i/>
              </w:rPr>
            </w:pPr>
            <w:proofErr w:type="gramStart"/>
            <w:r>
              <w:t>as</w:t>
            </w:r>
            <w:proofErr w:type="gramEnd"/>
            <w:r>
              <w:t xml:space="preserve"> in </w:t>
            </w:r>
            <w:r>
              <w:rPr>
                <w:i/>
              </w:rPr>
              <w:t>The milk tipped over</w:t>
            </w:r>
          </w:p>
        </w:tc>
      </w:tr>
      <w:tr w:rsidR="00EA2BD7" w14:paraId="2B6BBC9F" w14:textId="77777777" w:rsidTr="00EA2BD7">
        <w:tc>
          <w:tcPr>
            <w:tcW w:w="1703" w:type="dxa"/>
          </w:tcPr>
          <w:p w14:paraId="4731E4A8" w14:textId="77777777" w:rsidR="00EA2BD7" w:rsidRDefault="00EA2BD7">
            <w:proofErr w:type="gramStart"/>
            <w:r>
              <w:t>zero</w:t>
            </w:r>
            <w:proofErr w:type="gramEnd"/>
            <w:r>
              <w:t xml:space="preserve"> derivation</w:t>
            </w:r>
          </w:p>
          <w:p w14:paraId="5893965E" w14:textId="73571AB5" w:rsidR="002A3119" w:rsidRDefault="002A3119">
            <w:r>
              <w:t>(</w:t>
            </w:r>
            <w:proofErr w:type="gramStart"/>
            <w:r>
              <w:t>conversion</w:t>
            </w:r>
            <w:proofErr w:type="gramEnd"/>
            <w:r>
              <w:t>)</w:t>
            </w:r>
          </w:p>
        </w:tc>
        <w:tc>
          <w:tcPr>
            <w:tcW w:w="1703" w:type="dxa"/>
          </w:tcPr>
          <w:p w14:paraId="30FC6E10" w14:textId="5235A5FF" w:rsidR="00EA2BD7" w:rsidRDefault="00EA2BD7">
            <w:proofErr w:type="gramStart"/>
            <w:r w:rsidRPr="00EA2BD7">
              <w:rPr>
                <w:i/>
              </w:rPr>
              <w:t>milk</w:t>
            </w:r>
            <w:proofErr w:type="gramEnd"/>
            <w:r>
              <w:t xml:space="preserve"> v.</w:t>
            </w:r>
          </w:p>
        </w:tc>
        <w:tc>
          <w:tcPr>
            <w:tcW w:w="1703" w:type="dxa"/>
          </w:tcPr>
          <w:p w14:paraId="5F173473" w14:textId="6F2E03F2" w:rsidR="00EA2BD7" w:rsidRDefault="00EA2BD7">
            <w:proofErr w:type="gramStart"/>
            <w:r>
              <w:t>conversion</w:t>
            </w:r>
            <w:proofErr w:type="gramEnd"/>
          </w:p>
        </w:tc>
        <w:tc>
          <w:tcPr>
            <w:tcW w:w="1703" w:type="dxa"/>
          </w:tcPr>
          <w:p w14:paraId="18441B69" w14:textId="4FA1C98B" w:rsidR="00EA2BD7" w:rsidRPr="00EA2BD7" w:rsidRDefault="00EA2BD7">
            <w:pPr>
              <w:rPr>
                <w:smallCaps/>
              </w:rPr>
            </w:pPr>
            <w:r w:rsidRPr="00EA2BD7">
              <w:rPr>
                <w:smallCaps/>
              </w:rPr>
              <w:t>product for action</w:t>
            </w:r>
          </w:p>
        </w:tc>
        <w:tc>
          <w:tcPr>
            <w:tcW w:w="1704" w:type="dxa"/>
          </w:tcPr>
          <w:p w14:paraId="07DC59C0" w14:textId="676FDB10" w:rsidR="00EA2BD7" w:rsidRDefault="00EA2BD7">
            <w:proofErr w:type="gramStart"/>
            <w:r>
              <w:t>as</w:t>
            </w:r>
            <w:proofErr w:type="gramEnd"/>
            <w:r>
              <w:t xml:space="preserve"> in </w:t>
            </w:r>
            <w:r w:rsidRPr="00EA2BD7">
              <w:rPr>
                <w:i/>
              </w:rPr>
              <w:t>The famer will milk his cows</w:t>
            </w:r>
          </w:p>
        </w:tc>
      </w:tr>
      <w:tr w:rsidR="00EA2BD7" w14:paraId="60FEE79C" w14:textId="77777777" w:rsidTr="00EA2BD7">
        <w:tc>
          <w:tcPr>
            <w:tcW w:w="1703" w:type="dxa"/>
          </w:tcPr>
          <w:p w14:paraId="5F2FD722" w14:textId="4933E9A0" w:rsidR="00EA2BD7" w:rsidRDefault="00EA2BD7">
            <w:proofErr w:type="gramStart"/>
            <w:r>
              <w:t>overt</w:t>
            </w:r>
            <w:proofErr w:type="gramEnd"/>
            <w:r>
              <w:t xml:space="preserve"> derivation</w:t>
            </w:r>
          </w:p>
        </w:tc>
        <w:tc>
          <w:tcPr>
            <w:tcW w:w="1703" w:type="dxa"/>
          </w:tcPr>
          <w:p w14:paraId="495D161B" w14:textId="67967FC8" w:rsidR="00EA2BD7" w:rsidRDefault="00EA2BD7">
            <w:proofErr w:type="spellStart"/>
            <w:proofErr w:type="gramStart"/>
            <w:r w:rsidRPr="00EA2BD7">
              <w:rPr>
                <w:i/>
              </w:rPr>
              <w:t>milker</w:t>
            </w:r>
            <w:proofErr w:type="spellEnd"/>
            <w:proofErr w:type="gramEnd"/>
            <w:r>
              <w:t xml:space="preserve"> n.</w:t>
            </w:r>
          </w:p>
        </w:tc>
        <w:tc>
          <w:tcPr>
            <w:tcW w:w="1703" w:type="dxa"/>
          </w:tcPr>
          <w:p w14:paraId="1325F316" w14:textId="13B101A3" w:rsidR="00EA2BD7" w:rsidRDefault="00EA2BD7">
            <w:proofErr w:type="gramStart"/>
            <w:r>
              <w:t>morphological</w:t>
            </w:r>
            <w:proofErr w:type="gramEnd"/>
            <w:r>
              <w:t xml:space="preserve"> derivation</w:t>
            </w:r>
          </w:p>
        </w:tc>
        <w:tc>
          <w:tcPr>
            <w:tcW w:w="1703" w:type="dxa"/>
          </w:tcPr>
          <w:p w14:paraId="31EB4E56" w14:textId="089885DD" w:rsidR="00EA2BD7" w:rsidRPr="00EA2BD7" w:rsidRDefault="00EA2BD7">
            <w:pPr>
              <w:rPr>
                <w:smallCaps/>
              </w:rPr>
            </w:pPr>
            <w:r w:rsidRPr="00EA2BD7">
              <w:rPr>
                <w:smallCaps/>
              </w:rPr>
              <w:t>action for agent</w:t>
            </w:r>
          </w:p>
        </w:tc>
        <w:tc>
          <w:tcPr>
            <w:tcW w:w="1704" w:type="dxa"/>
          </w:tcPr>
          <w:p w14:paraId="2B290DB0" w14:textId="5E5412E0" w:rsidR="00EA2BD7" w:rsidRDefault="00EA2BD7">
            <w:proofErr w:type="gramStart"/>
            <w:r>
              <w:t>as</w:t>
            </w:r>
            <w:proofErr w:type="gramEnd"/>
            <w:r>
              <w:t xml:space="preserve"> in </w:t>
            </w:r>
            <w:r w:rsidRPr="00EA2BD7">
              <w:rPr>
                <w:i/>
              </w:rPr>
              <w:t xml:space="preserve">She is a good </w:t>
            </w:r>
            <w:proofErr w:type="spellStart"/>
            <w:r w:rsidRPr="00EA2BD7">
              <w:rPr>
                <w:i/>
              </w:rPr>
              <w:t>milker</w:t>
            </w:r>
            <w:proofErr w:type="spellEnd"/>
          </w:p>
        </w:tc>
      </w:tr>
    </w:tbl>
    <w:p w14:paraId="4FB4572E" w14:textId="309AEE6C" w:rsidR="00EA2BD7" w:rsidRDefault="00671AE2">
      <w:r>
        <w:t>Table 1: A cline of metonymic patterns</w:t>
      </w:r>
    </w:p>
    <w:p w14:paraId="0A45BE1C" w14:textId="77777777" w:rsidR="00671AE2" w:rsidRPr="00EA2BD7" w:rsidRDefault="00671AE2"/>
    <w:p w14:paraId="4F458322" w14:textId="7E3331AE" w:rsidR="00625882" w:rsidRDefault="007F01AE">
      <w:r>
        <w:tab/>
        <w:t>It is not clear that there is any non-arbitrary way to choose where or even whether to impose boundaries along this continuum. This problem is compounded when we look at languages with different systems of morphological derivation. Some languages (like English) have rather meager morphological systems and rely more heavily on lexical metonymy and conversion, whereas other languages use affixation to achieve the same expressive goals. Patterns of morphological derivation are to a large extent language specific. Is it the case that some languages are inherently more metonymic (assuming a narrow definition of metonymy)? Or is it the case that languages are similar in their conceptual use of metonymy, but differ in how it is expressed (i.e. by whole words vs. affixes)?</w:t>
      </w:r>
      <w:r w:rsidR="002A3119">
        <w:t xml:space="preserve"> </w:t>
      </w:r>
      <w:r w:rsidR="00CA018C">
        <w:t>I would argue for the latter, not the former, and point out that a</w:t>
      </w:r>
      <w:r w:rsidR="002A3119">
        <w:t xml:space="preserve"> narrow definition does not facilitate typological comparison across languages.</w:t>
      </w:r>
    </w:p>
    <w:p w14:paraId="586970C8" w14:textId="33C1883A" w:rsidR="006F60AC" w:rsidRDefault="006F60AC">
      <w:r>
        <w:tab/>
        <w:t>By insisting that my “</w:t>
      </w:r>
      <w:r w:rsidRPr="006F60AC">
        <w:t>claim about metonymy being involved in word-formation phenomena such as suffixation is misconceived</w:t>
      </w:r>
      <w:r>
        <w:t xml:space="preserve">” and that metonymy is </w:t>
      </w:r>
      <w:r w:rsidR="003E6D50">
        <w:t xml:space="preserve">restricted to </w:t>
      </w:r>
      <w:r w:rsidR="00DF4A73">
        <w:t>“</w:t>
      </w:r>
      <w:r w:rsidR="003E6D50">
        <w:t>whole words</w:t>
      </w:r>
      <w:r w:rsidR="00DF4A73">
        <w:t>”</w:t>
      </w:r>
      <w:r w:rsidR="003E6D50">
        <w:t xml:space="preserve">, </w:t>
      </w:r>
      <w:proofErr w:type="spellStart"/>
      <w:r w:rsidR="003E6D50">
        <w:t>Brdar</w:t>
      </w:r>
      <w:proofErr w:type="spellEnd"/>
      <w:r w:rsidR="003E6D50">
        <w:t xml:space="preserve"> and </w:t>
      </w:r>
      <w:proofErr w:type="spellStart"/>
      <w:r w:rsidR="003E6D50">
        <w:t>Brdar-Szabó</w:t>
      </w:r>
      <w:proofErr w:type="spellEnd"/>
      <w:r w:rsidR="003E6D50">
        <w:t xml:space="preserve"> in effect have posited that the cognitive mechanism of metonymy exists only on the lexical level. One could argue that it is they, not I, who </w:t>
      </w:r>
      <w:r w:rsidR="00DF4A73">
        <w:t xml:space="preserve">thus </w:t>
      </w:r>
      <w:r w:rsidR="003E6D50">
        <w:t>run afoul of the central tenet of cognitive linguistics that lexicon and grammar form a continuum.</w:t>
      </w:r>
    </w:p>
    <w:p w14:paraId="4FD0545B" w14:textId="77777777" w:rsidR="007F01AE" w:rsidRDefault="007F01AE"/>
    <w:p w14:paraId="38C481C6" w14:textId="6895D2CD" w:rsidR="00625882" w:rsidRDefault="00B67C8C">
      <w:r>
        <w:t xml:space="preserve">5.0 </w:t>
      </w:r>
      <w:r w:rsidR="007F01AE">
        <w:t>Domain and c</w:t>
      </w:r>
      <w:r>
        <w:t xml:space="preserve">ontext </w:t>
      </w:r>
    </w:p>
    <w:p w14:paraId="35E88DE1" w14:textId="77777777" w:rsidR="00301BF6" w:rsidRDefault="007D7083" w:rsidP="00C45D51">
      <w:proofErr w:type="spellStart"/>
      <w:r w:rsidRPr="002038C2">
        <w:rPr>
          <w:lang w:val="en-GB" w:eastAsia="hu-HU"/>
        </w:rPr>
        <w:t>Kövecses</w:t>
      </w:r>
      <w:proofErr w:type="spellEnd"/>
      <w:r w:rsidRPr="002038C2">
        <w:rPr>
          <w:lang w:val="en-GB" w:eastAsia="hu-HU"/>
        </w:rPr>
        <w:t xml:space="preserve"> and </w:t>
      </w:r>
      <w:proofErr w:type="spellStart"/>
      <w:r w:rsidRPr="002038C2">
        <w:rPr>
          <w:lang w:val="en-GB" w:eastAsia="hu-HU"/>
        </w:rPr>
        <w:t>Radden</w:t>
      </w:r>
      <w:proofErr w:type="spellEnd"/>
      <w:r w:rsidDel="004322E1">
        <w:rPr>
          <w:lang w:val="en-GB" w:eastAsia="hu-HU"/>
        </w:rPr>
        <w:t xml:space="preserve"> </w:t>
      </w:r>
      <w:r>
        <w:rPr>
          <w:lang w:val="en-GB" w:eastAsia="hu-HU"/>
        </w:rPr>
        <w:t>(199</w:t>
      </w:r>
      <w:r w:rsidR="00D84A3C">
        <w:rPr>
          <w:lang w:val="en-GB" w:eastAsia="hu-HU"/>
        </w:rPr>
        <w:t>8</w:t>
      </w:r>
      <w:r>
        <w:rPr>
          <w:lang w:val="en-GB" w:eastAsia="hu-HU"/>
        </w:rPr>
        <w:t>:</w:t>
      </w:r>
      <w:r w:rsidRPr="002038C2">
        <w:rPr>
          <w:lang w:val="en-GB" w:eastAsia="hu-HU"/>
        </w:rPr>
        <w:t xml:space="preserve"> 39)</w:t>
      </w:r>
      <w:r>
        <w:rPr>
          <w:lang w:val="en-GB" w:eastAsia="hu-HU"/>
        </w:rPr>
        <w:t xml:space="preserve"> define metonymy as “</w:t>
      </w:r>
      <w:r w:rsidRPr="002038C2">
        <w:rPr>
          <w:lang w:val="en-GB" w:eastAsia="hu-HU"/>
        </w:rPr>
        <w:t>a cognitive process in which one conceptual entity, the vehicle, provides mental access to another conceptual entity, the target, within the same domain, or</w:t>
      </w:r>
      <w:r>
        <w:rPr>
          <w:lang w:val="en-GB" w:eastAsia="hu-HU"/>
        </w:rPr>
        <w:t xml:space="preserve"> ICM”, using the terms </w:t>
      </w:r>
      <w:r w:rsidR="00CA018C">
        <w:rPr>
          <w:lang w:val="en-GB" w:eastAsia="hu-HU"/>
        </w:rPr>
        <w:t>“</w:t>
      </w:r>
      <w:r>
        <w:rPr>
          <w:lang w:val="en-GB" w:eastAsia="hu-HU"/>
        </w:rPr>
        <w:t>ICM</w:t>
      </w:r>
      <w:r w:rsidR="00CA018C">
        <w:rPr>
          <w:lang w:val="en-GB" w:eastAsia="hu-HU"/>
        </w:rPr>
        <w:t>”</w:t>
      </w:r>
      <w:r>
        <w:rPr>
          <w:lang w:val="en-GB" w:eastAsia="hu-HU"/>
        </w:rPr>
        <w:t xml:space="preserve"> and </w:t>
      </w:r>
      <w:r w:rsidR="00CA018C">
        <w:rPr>
          <w:lang w:val="en-GB" w:eastAsia="hu-HU"/>
        </w:rPr>
        <w:t>“</w:t>
      </w:r>
      <w:r>
        <w:rPr>
          <w:lang w:val="en-GB" w:eastAsia="hu-HU"/>
        </w:rPr>
        <w:t>domain</w:t>
      </w:r>
      <w:r w:rsidR="00CA018C">
        <w:rPr>
          <w:lang w:val="en-GB" w:eastAsia="hu-HU"/>
        </w:rPr>
        <w:t>”</w:t>
      </w:r>
      <w:r>
        <w:rPr>
          <w:lang w:val="en-GB" w:eastAsia="hu-HU"/>
        </w:rPr>
        <w:t xml:space="preserve"> interchangeably. </w:t>
      </w:r>
      <w:proofErr w:type="spellStart"/>
      <w:r w:rsidR="00A5419D">
        <w:t>Brdar</w:t>
      </w:r>
      <w:proofErr w:type="spellEnd"/>
      <w:r w:rsidR="00A5419D">
        <w:t xml:space="preserve"> and </w:t>
      </w:r>
      <w:proofErr w:type="spellStart"/>
      <w:r w:rsidR="00A5419D">
        <w:t>Brdar-Szabó</w:t>
      </w:r>
      <w:proofErr w:type="spellEnd"/>
      <w:r w:rsidR="00A5419D">
        <w:t xml:space="preserve"> </w:t>
      </w:r>
      <w:proofErr w:type="gramStart"/>
      <w:r w:rsidR="00C45D51">
        <w:t>state that</w:t>
      </w:r>
      <w:proofErr w:type="gramEnd"/>
      <w:r w:rsidR="00C45D51">
        <w:t xml:space="preserve"> </w:t>
      </w:r>
      <w:r>
        <w:t>“</w:t>
      </w:r>
      <w:proofErr w:type="spellStart"/>
      <w:r w:rsidRPr="00CF114D">
        <w:rPr>
          <w:color w:val="000000"/>
          <w:lang w:eastAsia="hu-HU"/>
        </w:rPr>
        <w:t>Janda</w:t>
      </w:r>
      <w:proofErr w:type="spellEnd"/>
      <w:r w:rsidRPr="00CF114D">
        <w:rPr>
          <w:color w:val="000000"/>
          <w:lang w:eastAsia="hu-HU"/>
        </w:rPr>
        <w:t xml:space="preserve"> replaces </w:t>
      </w:r>
      <w:r>
        <w:rPr>
          <w:color w:val="000000"/>
          <w:lang w:eastAsia="hu-HU"/>
        </w:rPr>
        <w:t>the notion of ICM with that of ‘context’</w:t>
      </w:r>
      <w:r>
        <w:t>”</w:t>
      </w:r>
      <w:r w:rsidR="00C45D51">
        <w:t>. While “domain”</w:t>
      </w:r>
      <w:r>
        <w:t xml:space="preserve"> and “ICM”</w:t>
      </w:r>
      <w:r w:rsidR="000B7667">
        <w:t xml:space="preserve"> do</w:t>
      </w:r>
      <w:r w:rsidR="00C45D51">
        <w:t xml:space="preserve"> not explicitly appear in </w:t>
      </w:r>
      <w:r w:rsidR="00CA018C">
        <w:t>my definition</w:t>
      </w:r>
      <w:r w:rsidR="00C45D51">
        <w:t xml:space="preserve">, I do not deny or ignore the role of the domain in metonymy in </w:t>
      </w:r>
      <w:proofErr w:type="spellStart"/>
      <w:r w:rsidR="00C45D51">
        <w:t>Janda</w:t>
      </w:r>
      <w:proofErr w:type="spellEnd"/>
      <w:r w:rsidR="00C45D51">
        <w:t xml:space="preserve"> 2011. </w:t>
      </w:r>
      <w:r w:rsidR="00CA018C">
        <w:t>My</w:t>
      </w:r>
      <w:r w:rsidR="00C45D51">
        <w:t xml:space="preserve"> article contains a summary of various strategies scholars have used in defining metonymy and domains/dominions have their rightful place in that discussion (citing Croft 1993; </w:t>
      </w:r>
      <w:proofErr w:type="spellStart"/>
      <w:r w:rsidR="00C45D51">
        <w:t>Langacker</w:t>
      </w:r>
      <w:proofErr w:type="spellEnd"/>
      <w:r w:rsidR="00C45D51">
        <w:t xml:space="preserve"> 1993, 2009; Ruiz de Mendoza 2000), alongside contiguity (citing </w:t>
      </w:r>
      <w:proofErr w:type="spellStart"/>
      <w:r w:rsidR="00C45D51" w:rsidRPr="00C45D51">
        <w:t>Jakobson</w:t>
      </w:r>
      <w:proofErr w:type="spellEnd"/>
      <w:r w:rsidR="00C45D51" w:rsidRPr="00C45D51">
        <w:t xml:space="preserve"> [1956] 1980; </w:t>
      </w:r>
      <w:proofErr w:type="spellStart"/>
      <w:r w:rsidR="00C45D51" w:rsidRPr="00C45D51">
        <w:t>Peirsman</w:t>
      </w:r>
      <w:proofErr w:type="spellEnd"/>
      <w:r w:rsidR="00C45D51" w:rsidRPr="00C45D51">
        <w:t xml:space="preserve"> and </w:t>
      </w:r>
      <w:proofErr w:type="spellStart"/>
      <w:r w:rsidR="00C45D51" w:rsidRPr="00C45D51">
        <w:t>Geeraerts</w:t>
      </w:r>
      <w:proofErr w:type="spellEnd"/>
      <w:r w:rsidR="00C45D51" w:rsidRPr="00C45D51">
        <w:t xml:space="preserve"> 2006</w:t>
      </w:r>
      <w:r w:rsidR="00C45D51">
        <w:t xml:space="preserve">), and Frames/ICMs (citing </w:t>
      </w:r>
      <w:proofErr w:type="spellStart"/>
      <w:r w:rsidR="00C45D51">
        <w:t>Kövecses</w:t>
      </w:r>
      <w:proofErr w:type="spellEnd"/>
      <w:r w:rsidR="00C45D51">
        <w:t xml:space="preserve"> and </w:t>
      </w:r>
      <w:proofErr w:type="spellStart"/>
      <w:r w:rsidR="00C45D51">
        <w:t>Radden</w:t>
      </w:r>
      <w:proofErr w:type="spellEnd"/>
      <w:r w:rsidR="00C45D51">
        <w:t xml:space="preserve"> 1998; </w:t>
      </w:r>
      <w:proofErr w:type="spellStart"/>
      <w:r w:rsidR="00C45D51">
        <w:t>Radden</w:t>
      </w:r>
      <w:proofErr w:type="spellEnd"/>
      <w:r w:rsidR="00C45D51">
        <w:t xml:space="preserve"> and </w:t>
      </w:r>
      <w:proofErr w:type="spellStart"/>
      <w:r w:rsidR="00C45D51">
        <w:t>Kövecses</w:t>
      </w:r>
      <w:proofErr w:type="spellEnd"/>
      <w:r w:rsidR="00C45D51">
        <w:t xml:space="preserve"> 1999;</w:t>
      </w:r>
      <w:r w:rsidR="00A5419D">
        <w:t xml:space="preserve"> </w:t>
      </w:r>
      <w:r w:rsidR="00C45D51">
        <w:t>Panther and Thornburg 1999; Barcelona 2002). However, I do not arbitrate among these strategies. I focus instead on the common ground they share because the differences between them d</w:t>
      </w:r>
      <w:r w:rsidR="000B441D">
        <w:t>o</w:t>
      </w:r>
      <w:r w:rsidR="00C45D51">
        <w:t xml:space="preserve"> not significantly impact the goal of my study, which </w:t>
      </w:r>
      <w:r w:rsidR="000B441D">
        <w:t>i</w:t>
      </w:r>
      <w:r w:rsidR="00C45D51">
        <w:t>s merely to explore parallels between lexical metonymy and word-formation. I follow the contiguity strategy more closely because some of its proponents offer a detailed classification of lexical metonymy (</w:t>
      </w:r>
      <w:proofErr w:type="spellStart"/>
      <w:r w:rsidR="00A5419D" w:rsidRPr="00C45D51">
        <w:t>Peirsman</w:t>
      </w:r>
      <w:proofErr w:type="spellEnd"/>
      <w:r w:rsidR="00A5419D" w:rsidRPr="00C45D51">
        <w:t xml:space="preserve"> and </w:t>
      </w:r>
      <w:proofErr w:type="spellStart"/>
      <w:r w:rsidR="00A5419D" w:rsidRPr="00C45D51">
        <w:t>Geeraerts</w:t>
      </w:r>
      <w:proofErr w:type="spellEnd"/>
      <w:r w:rsidR="00A5419D" w:rsidRPr="00C45D51">
        <w:t xml:space="preserve"> 2006</w:t>
      </w:r>
      <w:r w:rsidR="00C45D51">
        <w:t>) that prove</w:t>
      </w:r>
      <w:r w:rsidR="000B441D">
        <w:t>s</w:t>
      </w:r>
      <w:r w:rsidR="00C45D51">
        <w:t xml:space="preserve"> useful in my study. </w:t>
      </w:r>
      <w:r w:rsidR="00922CE2">
        <w:t xml:space="preserve">However, I do recognize the domain as a useful concept, </w:t>
      </w:r>
      <w:r w:rsidR="00602E5B">
        <w:t>and my approach is compatible with those that employ the concept of domain</w:t>
      </w:r>
      <w:r w:rsidR="00922CE2">
        <w:t>.</w:t>
      </w:r>
    </w:p>
    <w:p w14:paraId="65B35B46" w14:textId="0BF9189A" w:rsidR="00B67C8C" w:rsidRDefault="00301BF6" w:rsidP="00C45D51">
      <w:r>
        <w:tab/>
        <w:t>The definition I use in my article focuses</w:t>
      </w:r>
      <w:r w:rsidR="00922CE2">
        <w:t xml:space="preserve"> </w:t>
      </w:r>
      <w:r>
        <w:t>on “the semantic relationships between the source word, the derived word, and the affix as the context for metonymy” (</w:t>
      </w:r>
      <w:proofErr w:type="spellStart"/>
      <w:r>
        <w:t>Janda</w:t>
      </w:r>
      <w:proofErr w:type="spellEnd"/>
      <w:r>
        <w:t xml:space="preserve"> 2011: 388). In word-formation, the affix serves as an “overt cue to the presence of metonymy” (ibid.).</w:t>
      </w:r>
    </w:p>
    <w:p w14:paraId="4EF71E4D" w14:textId="77777777" w:rsidR="0026709C" w:rsidRDefault="00B429FD" w:rsidP="00C45D51">
      <w:r>
        <w:tab/>
      </w:r>
      <w:proofErr w:type="spellStart"/>
      <w:r w:rsidR="00A5419D">
        <w:t>Brdar</w:t>
      </w:r>
      <w:proofErr w:type="spellEnd"/>
      <w:r w:rsidR="00A5419D">
        <w:t xml:space="preserve"> and </w:t>
      </w:r>
      <w:proofErr w:type="spellStart"/>
      <w:r w:rsidR="00A5419D">
        <w:t>Brdar-Szabó</w:t>
      </w:r>
      <w:proofErr w:type="spellEnd"/>
      <w:r w:rsidR="00A5419D">
        <w:t xml:space="preserve"> </w:t>
      </w:r>
      <w:r>
        <w:t xml:space="preserve">argue that </w:t>
      </w:r>
      <w:r w:rsidR="00143F60">
        <w:t>“</w:t>
      </w:r>
      <w:r w:rsidR="00143F60" w:rsidRPr="0050520F">
        <w:rPr>
          <w:lang w:val="en-GB"/>
        </w:rPr>
        <w:t>context is a notoriously slippery term in linguistics</w:t>
      </w:r>
      <w:r w:rsidR="00143F60">
        <w:t>”</w:t>
      </w:r>
      <w:r>
        <w:t xml:space="preserve"> and therefore not useful in describing metonymy. One could counter that slippery con</w:t>
      </w:r>
      <w:r w:rsidR="007D7083">
        <w:t>cept</w:t>
      </w:r>
      <w:r>
        <w:t>s are abundant</w:t>
      </w:r>
      <w:r w:rsidR="007D7083">
        <w:t xml:space="preserve"> in linguistics</w:t>
      </w:r>
      <w:r>
        <w:t xml:space="preserve"> and indeed that the concept of domain is no less slippery. </w:t>
      </w:r>
      <w:proofErr w:type="spellStart"/>
      <w:r w:rsidR="007D7083">
        <w:t>Piersman</w:t>
      </w:r>
      <w:proofErr w:type="spellEnd"/>
      <w:r w:rsidR="007D7083">
        <w:t xml:space="preserve"> &amp; </w:t>
      </w:r>
      <w:proofErr w:type="spellStart"/>
      <w:r w:rsidR="007D7083">
        <w:t>Geeraerts</w:t>
      </w:r>
      <w:proofErr w:type="spellEnd"/>
      <w:r w:rsidR="007D7083">
        <w:t xml:space="preserve"> (2006: 269-270) argue that the notion of domain is too vague a foundation for an operational definition of metonymy. </w:t>
      </w:r>
    </w:p>
    <w:p w14:paraId="09C77136" w14:textId="4580D846" w:rsidR="00B429FD" w:rsidRPr="00B429FD" w:rsidRDefault="0026709C" w:rsidP="00C45D51">
      <w:r>
        <w:tab/>
      </w:r>
      <w:r w:rsidR="00B429FD">
        <w:t xml:space="preserve">Alternatively one could ask how it could be possible for metonymy to exist without context. Is </w:t>
      </w:r>
      <w:r w:rsidR="00B429FD">
        <w:rPr>
          <w:i/>
        </w:rPr>
        <w:t>milk</w:t>
      </w:r>
      <w:r w:rsidR="00B429FD">
        <w:t xml:space="preserve"> capable of expressing a container in the absence of a context like </w:t>
      </w:r>
      <w:r w:rsidR="00B429FD">
        <w:rPr>
          <w:i/>
        </w:rPr>
        <w:t>tipped over</w:t>
      </w:r>
      <w:r w:rsidR="00B429FD">
        <w:t xml:space="preserve">? There are examples in which a historical change has replaced an original source meaning with a metonymic target as in </w:t>
      </w:r>
      <w:r w:rsidR="000B441D">
        <w:t xml:space="preserve">French </w:t>
      </w:r>
      <w:r w:rsidR="000B441D">
        <w:rPr>
          <w:i/>
        </w:rPr>
        <w:t xml:space="preserve">la </w:t>
      </w:r>
      <w:proofErr w:type="spellStart"/>
      <w:r w:rsidR="000B441D">
        <w:rPr>
          <w:i/>
        </w:rPr>
        <w:t>saison</w:t>
      </w:r>
      <w:proofErr w:type="spellEnd"/>
      <w:r w:rsidR="000B441D">
        <w:t xml:space="preserve"> ‘season’ (which originally meant ‘act of sowing’)</w:t>
      </w:r>
      <w:r w:rsidR="00B429FD">
        <w:t xml:space="preserve">, but such examples are arguably in a different league than prototypical lexical metonymies, which require a context. The point in </w:t>
      </w:r>
      <w:proofErr w:type="spellStart"/>
      <w:r w:rsidR="00B429FD">
        <w:t>Janda</w:t>
      </w:r>
      <w:proofErr w:type="spellEnd"/>
      <w:r w:rsidR="00B429FD">
        <w:t xml:space="preserve"> 2011 is that there is a parallel between the context that </w:t>
      </w:r>
      <w:r>
        <w:t>signals</w:t>
      </w:r>
      <w:r w:rsidR="00B429FD">
        <w:t xml:space="preserve"> a lexical metonymy and the affix that </w:t>
      </w:r>
      <w:r>
        <w:t>signals</w:t>
      </w:r>
      <w:r w:rsidR="00B429FD">
        <w:t xml:space="preserve"> a word-formation metonymy. </w:t>
      </w:r>
    </w:p>
    <w:p w14:paraId="5267BD2C" w14:textId="77777777" w:rsidR="00B67C8C" w:rsidRDefault="00B67C8C"/>
    <w:p w14:paraId="70D113A1" w14:textId="2B156343" w:rsidR="00B67C8C" w:rsidRDefault="00B67C8C">
      <w:r>
        <w:t xml:space="preserve">6.0 </w:t>
      </w:r>
      <w:r w:rsidR="00C81DDE">
        <w:t>Data and diagram</w:t>
      </w:r>
    </w:p>
    <w:p w14:paraId="738AB381" w14:textId="0BBAD54B" w:rsidR="00C81DDE" w:rsidRDefault="00A5419D">
      <w:proofErr w:type="spellStart"/>
      <w:r>
        <w:t>Brdar</w:t>
      </w:r>
      <w:proofErr w:type="spellEnd"/>
      <w:r>
        <w:t xml:space="preserve"> and </w:t>
      </w:r>
      <w:proofErr w:type="spellStart"/>
      <w:r>
        <w:t>Brdar-Szabó</w:t>
      </w:r>
      <w:proofErr w:type="spellEnd"/>
      <w:r>
        <w:t xml:space="preserve"> </w:t>
      </w:r>
      <w:r w:rsidR="00C81DDE">
        <w:t xml:space="preserve">make a number of extrapolations beyond the claims and data presented in </w:t>
      </w:r>
      <w:proofErr w:type="spellStart"/>
      <w:r w:rsidR="00C81DDE">
        <w:t>Janda</w:t>
      </w:r>
      <w:proofErr w:type="spellEnd"/>
      <w:r w:rsidR="00C81DDE">
        <w:t xml:space="preserve"> 2011, in relation to compounding, </w:t>
      </w:r>
      <w:proofErr w:type="spellStart"/>
      <w:r w:rsidR="00C81DDE">
        <w:t>prefixation</w:t>
      </w:r>
      <w:proofErr w:type="spellEnd"/>
      <w:r w:rsidR="00C81DDE">
        <w:t>, morphological inflection, and the structure and history of English. They then criticize the results that might ensue from these extrapolations. They also offer a diagram to represent my model of metonymy. I do not recognize my work in these extrapolations or in this diagram and therefore refrain from commenting on them.</w:t>
      </w:r>
    </w:p>
    <w:p w14:paraId="6E8DBD81" w14:textId="50B69D89" w:rsidR="00C81DDE" w:rsidRDefault="00C81DDE">
      <w:r>
        <w:tab/>
        <w:t xml:space="preserve">All of the data that </w:t>
      </w:r>
      <w:proofErr w:type="spellStart"/>
      <w:r>
        <w:t>Janda</w:t>
      </w:r>
      <w:proofErr w:type="spellEnd"/>
      <w:r>
        <w:t xml:space="preserve"> 2011 was based on has been and continues to be publicly available on my website: </w:t>
      </w:r>
      <w:r w:rsidR="000B441D" w:rsidRPr="000B441D">
        <w:t>http://ansatte.uit.no/laura.janda/mypubs/mypubs.html</w:t>
      </w:r>
      <w:r>
        <w:t>. Anyone is welcome to inspect, verify, and criticize that data.</w:t>
      </w:r>
    </w:p>
    <w:p w14:paraId="0F22B6C4" w14:textId="77777777" w:rsidR="00B67C8C" w:rsidRDefault="00B67C8C"/>
    <w:p w14:paraId="41CA2AE9" w14:textId="77777777" w:rsidR="00B67C8C" w:rsidRDefault="00B67C8C">
      <w:r>
        <w:t>7.0 Conclusion</w:t>
      </w:r>
    </w:p>
    <w:p w14:paraId="05432684" w14:textId="2B98BC23" w:rsidR="00C95F4D" w:rsidRDefault="00C95F4D">
      <w:r>
        <w:t xml:space="preserve">Differences of opinion are a healthy part of academic inquiry. </w:t>
      </w:r>
      <w:r w:rsidR="004F3324">
        <w:t>Is there any</w:t>
      </w:r>
      <w:r>
        <w:t xml:space="preserve"> need to draw lines </w:t>
      </w:r>
      <w:r w:rsidR="00CA018C">
        <w:t>between</w:t>
      </w:r>
      <w:r>
        <w:t xml:space="preserve"> colleagues, conferring on some the label “metonymy people” while excluding others from this group, or to classify </w:t>
      </w:r>
      <w:r w:rsidR="004F3324">
        <w:t>an alternative approach</w:t>
      </w:r>
      <w:r>
        <w:t xml:space="preserve"> as “</w:t>
      </w:r>
      <w:r w:rsidR="004F3324">
        <w:t xml:space="preserve">a completely </w:t>
      </w:r>
      <w:r>
        <w:t>wrong</w:t>
      </w:r>
      <w:r w:rsidR="004F3324">
        <w:t xml:space="preserve"> direction</w:t>
      </w:r>
      <w:r>
        <w:t>”</w:t>
      </w:r>
      <w:r w:rsidR="004F3324">
        <w:t xml:space="preserve"> as asserted by </w:t>
      </w:r>
      <w:proofErr w:type="spellStart"/>
      <w:r w:rsidR="004F3324">
        <w:t>Brdar</w:t>
      </w:r>
      <w:proofErr w:type="spellEnd"/>
      <w:r w:rsidR="004F3324">
        <w:t xml:space="preserve"> and </w:t>
      </w:r>
      <w:proofErr w:type="spellStart"/>
      <w:r w:rsidR="004F3324">
        <w:t>Brdar-Szabó</w:t>
      </w:r>
      <w:proofErr w:type="spellEnd"/>
      <w:r w:rsidR="004F3324">
        <w:t>?</w:t>
      </w:r>
      <w:bookmarkStart w:id="0" w:name="_GoBack"/>
      <w:bookmarkEnd w:id="0"/>
    </w:p>
    <w:p w14:paraId="502961E9" w14:textId="66A28E8A" w:rsidR="00B537EE" w:rsidRDefault="00C95F4D">
      <w:r>
        <w:tab/>
      </w:r>
      <w:r w:rsidR="00C81DDE">
        <w:t>T</w:t>
      </w:r>
      <w:r w:rsidR="00B537EE">
        <w:t>he community of co</w:t>
      </w:r>
      <w:r w:rsidR="00C81DDE">
        <w:t xml:space="preserve">gnitive linguists would be well </w:t>
      </w:r>
      <w:r w:rsidR="00B537EE">
        <w:t>served by further investigations into the relationship between metonymy and word-formation.</w:t>
      </w:r>
      <w:r w:rsidR="00C81DDE">
        <w:t xml:space="preserve"> Ideally such a debate should give researchers a chance to work together toward a better understanding of the relevant phenomena while recognizing and respecting differences of opinion. Opinions, however, should be informed by data, and to that end we need to collect more data. It would be useful to have datasets parallel to those in </w:t>
      </w:r>
      <w:proofErr w:type="spellStart"/>
      <w:r w:rsidR="00C81DDE">
        <w:t>Janda</w:t>
      </w:r>
      <w:proofErr w:type="spellEnd"/>
      <w:r w:rsidR="00C81DDE">
        <w:t xml:space="preserve"> 2011 but representing other languages, particularly non-Indo-European languages. With more and better information we can all move forward on these issues.</w:t>
      </w:r>
    </w:p>
    <w:p w14:paraId="31A474B9" w14:textId="77777777" w:rsidR="00C81DDE" w:rsidRDefault="00C81DDE"/>
    <w:p w14:paraId="3ECCAE4C" w14:textId="77777777" w:rsidR="00F758E2" w:rsidRDefault="00F758E2">
      <w:r>
        <w:t>References</w:t>
      </w:r>
    </w:p>
    <w:p w14:paraId="7E83DA4F" w14:textId="77777777" w:rsidR="00C81DDE" w:rsidRDefault="00C81DDE"/>
    <w:p w14:paraId="7FC7254F" w14:textId="233B8B7E" w:rsidR="00F615F1" w:rsidRDefault="00F615F1" w:rsidP="00F615F1">
      <w:r w:rsidRPr="00F615F1">
        <w:t xml:space="preserve">Barcelona, Antonio. 2002. Clarifying and applying the notions of metaphor and metonymy within Cognitive Linguistics: an update. In René </w:t>
      </w:r>
      <w:proofErr w:type="spellStart"/>
      <w:r w:rsidRPr="00F615F1">
        <w:t>Dirven</w:t>
      </w:r>
      <w:proofErr w:type="spellEnd"/>
      <w:r w:rsidRPr="00F615F1">
        <w:t xml:space="preserve"> &amp; Ralf </w:t>
      </w:r>
      <w:proofErr w:type="spellStart"/>
      <w:r w:rsidRPr="00F615F1">
        <w:t>Pörings</w:t>
      </w:r>
      <w:proofErr w:type="spellEnd"/>
      <w:r w:rsidRPr="00F615F1">
        <w:t xml:space="preserve"> (eds.) </w:t>
      </w:r>
      <w:proofErr w:type="gramStart"/>
      <w:r w:rsidRPr="00F615F1">
        <w:rPr>
          <w:i/>
          <w:iCs/>
        </w:rPr>
        <w:t xml:space="preserve">Metaphor and metonymy in comparison and contrast </w:t>
      </w:r>
      <w:r w:rsidRPr="00F615F1">
        <w:t>(Cognitive Linguistics Research 20), 207–278.</w:t>
      </w:r>
      <w:proofErr w:type="gramEnd"/>
      <w:r w:rsidRPr="00F615F1">
        <w:t xml:space="preserve"> Berlin: Mouton de</w:t>
      </w:r>
      <w:r>
        <w:t xml:space="preserve"> </w:t>
      </w:r>
      <w:proofErr w:type="spellStart"/>
      <w:r w:rsidRPr="00F615F1">
        <w:t>Gruyter</w:t>
      </w:r>
      <w:proofErr w:type="spellEnd"/>
      <w:r w:rsidRPr="00F615F1">
        <w:t>.</w:t>
      </w:r>
    </w:p>
    <w:p w14:paraId="3E632F4C" w14:textId="77777777" w:rsidR="00F615F1" w:rsidRPr="00F615F1" w:rsidRDefault="00F615F1" w:rsidP="00F615F1"/>
    <w:p w14:paraId="4EFFA92B" w14:textId="67C37D64" w:rsidR="00F615F1" w:rsidRDefault="00F615F1">
      <w:proofErr w:type="spellStart"/>
      <w:r>
        <w:t>Brdar</w:t>
      </w:r>
      <w:proofErr w:type="spellEnd"/>
      <w:r>
        <w:t xml:space="preserve">, Mario and Rita </w:t>
      </w:r>
      <w:proofErr w:type="spellStart"/>
      <w:r>
        <w:t>Brdar-Szabó</w:t>
      </w:r>
      <w:proofErr w:type="spellEnd"/>
      <w:r>
        <w:t>. (</w:t>
      </w:r>
      <w:proofErr w:type="gramStart"/>
      <w:r>
        <w:t>this</w:t>
      </w:r>
      <w:proofErr w:type="gramEnd"/>
      <w:r>
        <w:t xml:space="preserve"> volume) Where does metonymy begin? </w:t>
      </w:r>
      <w:proofErr w:type="gramStart"/>
      <w:r>
        <w:t xml:space="preserve">Some comments on </w:t>
      </w:r>
      <w:proofErr w:type="spellStart"/>
      <w:r>
        <w:t>Janda</w:t>
      </w:r>
      <w:proofErr w:type="spellEnd"/>
      <w:r>
        <w:t xml:space="preserve"> (2011).</w:t>
      </w:r>
      <w:proofErr w:type="gramEnd"/>
      <w:r>
        <w:t xml:space="preserve"> </w:t>
      </w:r>
    </w:p>
    <w:p w14:paraId="753AE5A1" w14:textId="77777777" w:rsidR="00C81DDE" w:rsidRDefault="00C81DDE"/>
    <w:p w14:paraId="4A9561D1" w14:textId="0E7E43D2" w:rsidR="00F615F1" w:rsidRPr="00F615F1" w:rsidRDefault="00F615F1" w:rsidP="00F615F1">
      <w:proofErr w:type="gramStart"/>
      <w:r w:rsidRPr="00F615F1">
        <w:t>Croft, William.</w:t>
      </w:r>
      <w:proofErr w:type="gramEnd"/>
      <w:r w:rsidRPr="00F615F1">
        <w:t xml:space="preserve"> 1993. The role of domains in the interpretation of metaphors and metonymies.</w:t>
      </w:r>
      <w:r>
        <w:t xml:space="preserve"> </w:t>
      </w:r>
      <w:proofErr w:type="gramStart"/>
      <w:r w:rsidRPr="00F615F1">
        <w:rPr>
          <w:i/>
          <w:iCs/>
        </w:rPr>
        <w:t xml:space="preserve">Cognitive Linguistics </w:t>
      </w:r>
      <w:r w:rsidRPr="00F615F1">
        <w:t>4(4).</w:t>
      </w:r>
      <w:proofErr w:type="gramEnd"/>
      <w:r w:rsidRPr="00F615F1">
        <w:t xml:space="preserve"> 335–370.</w:t>
      </w:r>
    </w:p>
    <w:p w14:paraId="314CC53A" w14:textId="05A4D52A" w:rsidR="00C81DDE" w:rsidRDefault="00C81DDE"/>
    <w:p w14:paraId="4A4AC842" w14:textId="1B76FDC4" w:rsidR="00F615F1" w:rsidRPr="00F615F1" w:rsidRDefault="00F615F1" w:rsidP="00F615F1">
      <w:proofErr w:type="spellStart"/>
      <w:r w:rsidRPr="00F615F1">
        <w:t>Jakobson</w:t>
      </w:r>
      <w:proofErr w:type="spellEnd"/>
      <w:r w:rsidRPr="00F615F1">
        <w:t>, Roman. [</w:t>
      </w:r>
      <w:proofErr w:type="gramStart"/>
      <w:r w:rsidRPr="00F615F1">
        <w:t>1956]1980</w:t>
      </w:r>
      <w:proofErr w:type="gramEnd"/>
      <w:r w:rsidRPr="00F615F1">
        <w:t xml:space="preserve">. </w:t>
      </w:r>
      <w:proofErr w:type="gramStart"/>
      <w:r w:rsidRPr="00F615F1">
        <w:t>Two aspects of language and two types of aphasic disturbances.</w:t>
      </w:r>
      <w:proofErr w:type="gramEnd"/>
      <w:r>
        <w:t xml:space="preserve"> </w:t>
      </w:r>
      <w:r w:rsidRPr="00F615F1">
        <w:t xml:space="preserve">In Roman </w:t>
      </w:r>
      <w:proofErr w:type="spellStart"/>
      <w:r w:rsidRPr="00F615F1">
        <w:t>Jakobson</w:t>
      </w:r>
      <w:proofErr w:type="spellEnd"/>
      <w:r w:rsidRPr="00F615F1">
        <w:t xml:space="preserve"> &amp; Morris Halle (eds.) </w:t>
      </w:r>
      <w:proofErr w:type="gramStart"/>
      <w:r w:rsidRPr="00F615F1">
        <w:rPr>
          <w:i/>
          <w:iCs/>
        </w:rPr>
        <w:t xml:space="preserve">Fundamentals of language, </w:t>
      </w:r>
      <w:r w:rsidRPr="00F615F1">
        <w:t>67–96.</w:t>
      </w:r>
      <w:proofErr w:type="gramEnd"/>
      <w:r w:rsidRPr="00F615F1">
        <w:t xml:space="preserve"> The Hague:</w:t>
      </w:r>
      <w:r>
        <w:t xml:space="preserve"> </w:t>
      </w:r>
      <w:r w:rsidRPr="00F615F1">
        <w:t>Mouton.</w:t>
      </w:r>
    </w:p>
    <w:p w14:paraId="029B26CB" w14:textId="4C4284B2" w:rsidR="00C81DDE" w:rsidRDefault="00C81DDE"/>
    <w:p w14:paraId="5A627441" w14:textId="18D7B815" w:rsidR="00C81DDE" w:rsidRDefault="00C81DDE">
      <w:proofErr w:type="spellStart"/>
      <w:r>
        <w:t>Janda</w:t>
      </w:r>
      <w:proofErr w:type="spellEnd"/>
      <w:r w:rsidR="00F615F1">
        <w:t>, Laura A.</w:t>
      </w:r>
      <w:r>
        <w:t xml:space="preserve"> 2011</w:t>
      </w:r>
      <w:r w:rsidR="00F615F1">
        <w:t xml:space="preserve">. </w:t>
      </w:r>
      <w:proofErr w:type="gramStart"/>
      <w:r w:rsidR="00F615F1">
        <w:t>Metonymy in word-formation.</w:t>
      </w:r>
      <w:proofErr w:type="gramEnd"/>
      <w:r w:rsidR="00F615F1">
        <w:t xml:space="preserve"> </w:t>
      </w:r>
      <w:proofErr w:type="gramStart"/>
      <w:r w:rsidR="00F615F1">
        <w:rPr>
          <w:i/>
        </w:rPr>
        <w:t>Cognitive Linguistics</w:t>
      </w:r>
      <w:r w:rsidR="00F615F1">
        <w:t xml:space="preserve"> 22(2).</w:t>
      </w:r>
      <w:proofErr w:type="gramEnd"/>
      <w:r w:rsidR="00F615F1">
        <w:t xml:space="preserve"> 359-392.</w:t>
      </w:r>
    </w:p>
    <w:p w14:paraId="67ECA87D" w14:textId="77777777" w:rsidR="00F615F1" w:rsidRDefault="00F615F1"/>
    <w:p w14:paraId="4B610D04" w14:textId="1C3DF133" w:rsidR="00F615F1" w:rsidRDefault="00F615F1" w:rsidP="00F615F1">
      <w:proofErr w:type="spellStart"/>
      <w:proofErr w:type="gramStart"/>
      <w:r w:rsidRPr="00F615F1">
        <w:t>Kövecses</w:t>
      </w:r>
      <w:proofErr w:type="spellEnd"/>
      <w:r w:rsidRPr="00F615F1">
        <w:t xml:space="preserve">, </w:t>
      </w:r>
      <w:proofErr w:type="spellStart"/>
      <w:r w:rsidRPr="00F615F1">
        <w:t>Zoltán</w:t>
      </w:r>
      <w:proofErr w:type="spellEnd"/>
      <w:r w:rsidRPr="00F615F1">
        <w:t xml:space="preserve"> &amp; Günter </w:t>
      </w:r>
      <w:proofErr w:type="spellStart"/>
      <w:r w:rsidRPr="00F615F1">
        <w:t>Radden</w:t>
      </w:r>
      <w:proofErr w:type="spellEnd"/>
      <w:r w:rsidRPr="00F615F1">
        <w:t>.</w:t>
      </w:r>
      <w:proofErr w:type="gramEnd"/>
      <w:r w:rsidRPr="00F615F1">
        <w:t xml:space="preserve"> 1998. Metonymy: Developing a cognitive linguistic view.</w:t>
      </w:r>
      <w:r>
        <w:t xml:space="preserve"> </w:t>
      </w:r>
      <w:proofErr w:type="gramStart"/>
      <w:r w:rsidRPr="00F615F1">
        <w:rPr>
          <w:i/>
          <w:iCs/>
        </w:rPr>
        <w:t xml:space="preserve">Cognitive Linguistics </w:t>
      </w:r>
      <w:r w:rsidRPr="00F615F1">
        <w:t>9(1).</w:t>
      </w:r>
      <w:proofErr w:type="gramEnd"/>
      <w:r w:rsidRPr="00F615F1">
        <w:t xml:space="preserve"> 37–77.</w:t>
      </w:r>
    </w:p>
    <w:p w14:paraId="0F5AEE99" w14:textId="77777777" w:rsidR="00F615F1" w:rsidRPr="00F615F1" w:rsidRDefault="00F615F1" w:rsidP="00F615F1"/>
    <w:p w14:paraId="13FED5C2" w14:textId="77777777" w:rsidR="00BD570B" w:rsidRDefault="00BD570B" w:rsidP="00BD570B">
      <w:proofErr w:type="spellStart"/>
      <w:r w:rsidRPr="00BD570B">
        <w:t>Langacker</w:t>
      </w:r>
      <w:proofErr w:type="spellEnd"/>
      <w:r w:rsidRPr="00BD570B">
        <w:t xml:space="preserve">, Ronald W. 1993. Reference-point constructions. </w:t>
      </w:r>
      <w:proofErr w:type="gramStart"/>
      <w:r w:rsidRPr="00BD570B">
        <w:rPr>
          <w:i/>
          <w:iCs/>
        </w:rPr>
        <w:t xml:space="preserve">Cognitive Linguistics </w:t>
      </w:r>
      <w:r w:rsidRPr="00BD570B">
        <w:t>4(1).</w:t>
      </w:r>
      <w:proofErr w:type="gramEnd"/>
      <w:r w:rsidRPr="00BD570B">
        <w:t xml:space="preserve"> 1–38. </w:t>
      </w:r>
    </w:p>
    <w:p w14:paraId="70C3AFD9" w14:textId="77777777" w:rsidR="00BD570B" w:rsidRDefault="00BD570B" w:rsidP="00BD570B"/>
    <w:p w14:paraId="161FB179" w14:textId="4F524142" w:rsidR="00BD570B" w:rsidRPr="00BD570B" w:rsidRDefault="00BD570B" w:rsidP="00BD570B">
      <w:proofErr w:type="spellStart"/>
      <w:r w:rsidRPr="00BD570B">
        <w:t>Langacker</w:t>
      </w:r>
      <w:proofErr w:type="spellEnd"/>
      <w:r w:rsidRPr="00BD570B">
        <w:t>, Ronald W. 2009. Metonymic grammar. In Klaus-</w:t>
      </w:r>
      <w:proofErr w:type="spellStart"/>
      <w:r w:rsidRPr="00BD570B">
        <w:t>Uwe</w:t>
      </w:r>
      <w:proofErr w:type="spellEnd"/>
      <w:r w:rsidRPr="00BD570B">
        <w:t xml:space="preserve"> Panther, Linda L. Thornburg, Antonio Barcelona (eds.) </w:t>
      </w:r>
      <w:proofErr w:type="gramStart"/>
      <w:r w:rsidRPr="00BD570B">
        <w:rPr>
          <w:i/>
          <w:iCs/>
        </w:rPr>
        <w:t xml:space="preserve">Metonymy and metaphor in grammar, </w:t>
      </w:r>
      <w:r w:rsidRPr="00BD570B">
        <w:t>45–71.</w:t>
      </w:r>
      <w:proofErr w:type="gramEnd"/>
      <w:r w:rsidRPr="00BD570B">
        <w:t xml:space="preserve"> Amsterdam: John</w:t>
      </w:r>
      <w:r>
        <w:t xml:space="preserve"> </w:t>
      </w:r>
      <w:proofErr w:type="spellStart"/>
      <w:r w:rsidRPr="00BD570B">
        <w:t>Benjamins</w:t>
      </w:r>
      <w:proofErr w:type="spellEnd"/>
      <w:r w:rsidRPr="00BD570B">
        <w:t>.</w:t>
      </w:r>
    </w:p>
    <w:p w14:paraId="71AA0785" w14:textId="77777777" w:rsidR="00BD570B" w:rsidRDefault="00BD570B"/>
    <w:p w14:paraId="2BACFCD5" w14:textId="43BEC09C" w:rsidR="00C81DDE" w:rsidRPr="00BD570B" w:rsidRDefault="00BD570B">
      <w:proofErr w:type="spellStart"/>
      <w:r w:rsidRPr="00BD570B">
        <w:t>Langacker</w:t>
      </w:r>
      <w:proofErr w:type="spellEnd"/>
      <w:r w:rsidRPr="00BD570B">
        <w:t xml:space="preserve">, Ronald W. </w:t>
      </w:r>
      <w:r w:rsidR="00C81DDE">
        <w:t>2013</w:t>
      </w:r>
      <w:r>
        <w:t xml:space="preserve">. </w:t>
      </w:r>
      <w:proofErr w:type="gramStart"/>
      <w:r>
        <w:rPr>
          <w:i/>
        </w:rPr>
        <w:t>Essentials of Cognitive Grammar.</w:t>
      </w:r>
      <w:proofErr w:type="gramEnd"/>
      <w:r>
        <w:t xml:space="preserve"> Oxford: Oxford University Press.</w:t>
      </w:r>
    </w:p>
    <w:p w14:paraId="06498975" w14:textId="77777777" w:rsidR="00C81DDE" w:rsidRDefault="00C81DDE"/>
    <w:p w14:paraId="64C87839" w14:textId="34ABFEC4" w:rsidR="00C81DDE" w:rsidRDefault="000718F7">
      <w:r>
        <w:t xml:space="preserve">Lipka, Leonhard. </w:t>
      </w:r>
      <w:r w:rsidR="00C81DDE">
        <w:t>1992</w:t>
      </w:r>
      <w:r>
        <w:t xml:space="preserve">. </w:t>
      </w:r>
      <w:r>
        <w:rPr>
          <w:i/>
        </w:rPr>
        <w:t>An Outline of English Lexicology</w:t>
      </w:r>
      <w:r>
        <w:t>, 2nd ed. Tübingen: Max Niemeyer Verlag.</w:t>
      </w:r>
    </w:p>
    <w:p w14:paraId="7CE33D1A" w14:textId="77777777" w:rsidR="000718F7" w:rsidRPr="000718F7" w:rsidRDefault="000718F7"/>
    <w:p w14:paraId="6672E976" w14:textId="243C4813" w:rsidR="000718F7" w:rsidRPr="000718F7" w:rsidRDefault="000718F7" w:rsidP="000718F7">
      <w:proofErr w:type="gramStart"/>
      <w:r w:rsidRPr="000718F7">
        <w:t>Panther, Klaus-</w:t>
      </w:r>
      <w:proofErr w:type="spellStart"/>
      <w:r w:rsidRPr="000718F7">
        <w:t>Uwe</w:t>
      </w:r>
      <w:proofErr w:type="spellEnd"/>
      <w:r w:rsidRPr="000718F7">
        <w:t xml:space="preserve"> &amp; Linda Thornburg.</w:t>
      </w:r>
      <w:proofErr w:type="gramEnd"/>
      <w:r w:rsidRPr="000718F7">
        <w:t xml:space="preserve"> 1999. The potentiality for actuality metonymy in English</w:t>
      </w:r>
      <w:r>
        <w:t xml:space="preserve"> </w:t>
      </w:r>
      <w:r w:rsidRPr="000718F7">
        <w:t>and Hungarian. In Klaus-</w:t>
      </w:r>
      <w:proofErr w:type="spellStart"/>
      <w:r w:rsidRPr="000718F7">
        <w:t>Uwe</w:t>
      </w:r>
      <w:proofErr w:type="spellEnd"/>
      <w:r w:rsidRPr="000718F7">
        <w:t xml:space="preserve"> Panther &amp; Günter </w:t>
      </w:r>
      <w:proofErr w:type="spellStart"/>
      <w:r w:rsidRPr="000718F7">
        <w:t>Radden</w:t>
      </w:r>
      <w:proofErr w:type="spellEnd"/>
      <w:r w:rsidRPr="000718F7">
        <w:t xml:space="preserve"> (eds.), </w:t>
      </w:r>
      <w:r w:rsidRPr="000718F7">
        <w:rPr>
          <w:i/>
          <w:iCs/>
        </w:rPr>
        <w:t>Metonymy in language and</w:t>
      </w:r>
      <w:r>
        <w:t xml:space="preserve"> </w:t>
      </w:r>
      <w:r w:rsidRPr="000718F7">
        <w:rPr>
          <w:i/>
          <w:iCs/>
        </w:rPr>
        <w:t xml:space="preserve">thought, </w:t>
      </w:r>
      <w:r w:rsidRPr="000718F7">
        <w:t xml:space="preserve">337–357. Amsterdam: John </w:t>
      </w:r>
      <w:proofErr w:type="spellStart"/>
      <w:r w:rsidRPr="000718F7">
        <w:t>Benjamins</w:t>
      </w:r>
      <w:proofErr w:type="spellEnd"/>
      <w:r w:rsidRPr="000718F7">
        <w:t>.</w:t>
      </w:r>
    </w:p>
    <w:p w14:paraId="79AE8CA0" w14:textId="12D056A8" w:rsidR="00F615F1" w:rsidRDefault="00F615F1"/>
    <w:p w14:paraId="5EEC6E7F" w14:textId="395A0BB0" w:rsidR="000718F7" w:rsidRPr="000718F7" w:rsidRDefault="000718F7" w:rsidP="000718F7">
      <w:proofErr w:type="spellStart"/>
      <w:proofErr w:type="gramStart"/>
      <w:r w:rsidRPr="000718F7">
        <w:t>Peirsman</w:t>
      </w:r>
      <w:proofErr w:type="spellEnd"/>
      <w:r w:rsidRPr="000718F7">
        <w:t xml:space="preserve">, Yves &amp; Dirk </w:t>
      </w:r>
      <w:proofErr w:type="spellStart"/>
      <w:r w:rsidRPr="000718F7">
        <w:t>Geeraerts</w:t>
      </w:r>
      <w:proofErr w:type="spellEnd"/>
      <w:r w:rsidRPr="000718F7">
        <w:t>.</w:t>
      </w:r>
      <w:proofErr w:type="gramEnd"/>
      <w:r w:rsidRPr="000718F7">
        <w:t xml:space="preserve"> 2006. Metonymy as a prototypical category. </w:t>
      </w:r>
      <w:proofErr w:type="gramStart"/>
      <w:r w:rsidRPr="000718F7">
        <w:rPr>
          <w:i/>
          <w:iCs/>
        </w:rPr>
        <w:t xml:space="preserve">Cognitive Linguistics </w:t>
      </w:r>
      <w:r w:rsidRPr="000718F7">
        <w:t>17(3).</w:t>
      </w:r>
      <w:proofErr w:type="gramEnd"/>
      <w:r w:rsidRPr="000718F7">
        <w:t xml:space="preserve"> 269–316.</w:t>
      </w:r>
    </w:p>
    <w:p w14:paraId="26DBEC0D" w14:textId="08DE3EA7" w:rsidR="00C81DDE" w:rsidRDefault="00C81DDE"/>
    <w:p w14:paraId="73B07F0F" w14:textId="504A18CC" w:rsidR="000718F7" w:rsidRPr="000718F7" w:rsidRDefault="000718F7" w:rsidP="000718F7">
      <w:proofErr w:type="spellStart"/>
      <w:r w:rsidRPr="000718F7">
        <w:t>Radden</w:t>
      </w:r>
      <w:proofErr w:type="spellEnd"/>
      <w:r w:rsidRPr="000718F7">
        <w:t xml:space="preserve">, Günter &amp; </w:t>
      </w:r>
      <w:proofErr w:type="spellStart"/>
      <w:r w:rsidRPr="000718F7">
        <w:t>Zoltán</w:t>
      </w:r>
      <w:proofErr w:type="spellEnd"/>
      <w:r w:rsidRPr="000718F7">
        <w:t xml:space="preserve"> </w:t>
      </w:r>
      <w:proofErr w:type="spellStart"/>
      <w:r w:rsidRPr="000718F7">
        <w:t>Kövecses</w:t>
      </w:r>
      <w:proofErr w:type="spellEnd"/>
      <w:r w:rsidRPr="000718F7">
        <w:t>. 1999. Towards a theory of metonymy. In Klaus-</w:t>
      </w:r>
      <w:proofErr w:type="spellStart"/>
      <w:r w:rsidRPr="000718F7">
        <w:t>Uwe</w:t>
      </w:r>
      <w:proofErr w:type="spellEnd"/>
      <w:r w:rsidRPr="000718F7">
        <w:t xml:space="preserve"> Panther</w:t>
      </w:r>
      <w:r>
        <w:t xml:space="preserve"> </w:t>
      </w:r>
      <w:r w:rsidRPr="000718F7">
        <w:t xml:space="preserve">&amp; Günter </w:t>
      </w:r>
      <w:proofErr w:type="spellStart"/>
      <w:r w:rsidRPr="000718F7">
        <w:t>Radden</w:t>
      </w:r>
      <w:proofErr w:type="spellEnd"/>
      <w:r w:rsidRPr="000718F7">
        <w:t xml:space="preserve"> (eds.), </w:t>
      </w:r>
      <w:r w:rsidRPr="000718F7">
        <w:rPr>
          <w:i/>
          <w:iCs/>
        </w:rPr>
        <w:t xml:space="preserve">Metonymy in language and thought, </w:t>
      </w:r>
      <w:r w:rsidRPr="000718F7">
        <w:t>17–59. Amsterdam: John</w:t>
      </w:r>
      <w:r>
        <w:t xml:space="preserve"> </w:t>
      </w:r>
      <w:proofErr w:type="spellStart"/>
      <w:r w:rsidRPr="000718F7">
        <w:t>Benjamins</w:t>
      </w:r>
      <w:proofErr w:type="spellEnd"/>
      <w:r w:rsidRPr="000718F7">
        <w:t>.</w:t>
      </w:r>
    </w:p>
    <w:p w14:paraId="7893DBF8" w14:textId="0B05386C" w:rsidR="00F615F1" w:rsidRDefault="00F615F1" w:rsidP="00C81DDE"/>
    <w:p w14:paraId="49FDF78A" w14:textId="6E40F1D2" w:rsidR="00F615F1" w:rsidRDefault="000718F7">
      <w:r w:rsidRPr="000718F7">
        <w:t xml:space="preserve">Ruiz de Mendoza, Francisco J. 2000. </w:t>
      </w:r>
      <w:proofErr w:type="gramStart"/>
      <w:r w:rsidRPr="000718F7">
        <w:t>The role of mappings an</w:t>
      </w:r>
      <w:r>
        <w:t>d domains in understanding me</w:t>
      </w:r>
      <w:r w:rsidRPr="000718F7">
        <w:t>tonymy.</w:t>
      </w:r>
      <w:proofErr w:type="gramEnd"/>
      <w:r w:rsidRPr="000718F7">
        <w:t xml:space="preserve"> In Antonio Barcelona (ed.) </w:t>
      </w:r>
      <w:r w:rsidRPr="000718F7">
        <w:rPr>
          <w:i/>
          <w:iCs/>
        </w:rPr>
        <w:t xml:space="preserve">Metaphor and metonymy at the crossroads: A cognitive perspective, </w:t>
      </w:r>
      <w:r w:rsidRPr="000718F7">
        <w:t xml:space="preserve">109–132. Berlin: Mouton de </w:t>
      </w:r>
      <w:proofErr w:type="spellStart"/>
      <w:r w:rsidRPr="000718F7">
        <w:t>Gruyter</w:t>
      </w:r>
      <w:proofErr w:type="spellEnd"/>
      <w:r w:rsidRPr="000718F7">
        <w:t>.</w:t>
      </w:r>
    </w:p>
    <w:sectPr w:rsidR="00F615F1" w:rsidSect="00EA2BD7">
      <w:headerReference w:type="even" r:id="rId7"/>
      <w:headerReference w:type="default" r:id="rId8"/>
      <w:pgSz w:w="11900" w:h="16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06CBE" w14:textId="77777777" w:rsidR="006F60AC" w:rsidRDefault="006F60AC" w:rsidP="00EA2BD7">
      <w:r>
        <w:separator/>
      </w:r>
    </w:p>
  </w:endnote>
  <w:endnote w:type="continuationSeparator" w:id="0">
    <w:p w14:paraId="0F1B84A6" w14:textId="77777777" w:rsidR="006F60AC" w:rsidRDefault="006F60AC" w:rsidP="00EA2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750E4" w14:textId="77777777" w:rsidR="006F60AC" w:rsidRDefault="006F60AC" w:rsidP="00EA2BD7">
      <w:r>
        <w:separator/>
      </w:r>
    </w:p>
  </w:footnote>
  <w:footnote w:type="continuationSeparator" w:id="0">
    <w:p w14:paraId="72A8B9CB" w14:textId="77777777" w:rsidR="006F60AC" w:rsidRDefault="006F60AC" w:rsidP="00EA2BD7">
      <w:r>
        <w:continuationSeparator/>
      </w:r>
    </w:p>
  </w:footnote>
  <w:footnote w:id="1">
    <w:p w14:paraId="2169CEC1" w14:textId="54A95CB0" w:rsidR="006F60AC" w:rsidRPr="005778B4" w:rsidRDefault="006F60AC">
      <w:pPr>
        <w:pStyle w:val="FootnoteText"/>
      </w:pPr>
      <w:r>
        <w:rPr>
          <w:rStyle w:val="FootnoteReference"/>
        </w:rPr>
        <w:t>*</w:t>
      </w:r>
      <w:r>
        <w:t xml:space="preserve"> Address for correspondence: HSL fakultet, UiT The Arctic University of Norway, 9037 Tromsø, Norway. Email: &lt;laura.janda@uit.no&gt;. Web: </w:t>
      </w:r>
      <w:r w:rsidRPr="005778B4">
        <w:t>http://ansatte.uit.no/laura.janda/</w:t>
      </w:r>
      <w:r>
        <w:t>. I thank Dirk Geeraerts, Ronald W. Langacker, Tore Nesset, and Günter Radden for valuable input.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FC1CD8" w14:textId="77777777" w:rsidR="006F60AC" w:rsidRDefault="006F60AC" w:rsidP="007F0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58E955" w14:textId="77777777" w:rsidR="006F60AC" w:rsidRDefault="006F60AC" w:rsidP="00EA2BD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ED265" w14:textId="77777777" w:rsidR="006F60AC" w:rsidRDefault="006F60AC" w:rsidP="007F01A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6709C">
      <w:rPr>
        <w:rStyle w:val="PageNumber"/>
        <w:noProof/>
      </w:rPr>
      <w:t>5</w:t>
    </w:r>
    <w:r>
      <w:rPr>
        <w:rStyle w:val="PageNumber"/>
      </w:rPr>
      <w:fldChar w:fldCharType="end"/>
    </w:r>
  </w:p>
  <w:p w14:paraId="26EBDD8B" w14:textId="77777777" w:rsidR="006F60AC" w:rsidRDefault="006F60AC" w:rsidP="00EA2BD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82"/>
    <w:rsid w:val="00063088"/>
    <w:rsid w:val="000718F7"/>
    <w:rsid w:val="000A2BF2"/>
    <w:rsid w:val="000B441D"/>
    <w:rsid w:val="000B7667"/>
    <w:rsid w:val="00143F60"/>
    <w:rsid w:val="00161792"/>
    <w:rsid w:val="002626EC"/>
    <w:rsid w:val="0026709C"/>
    <w:rsid w:val="002A3119"/>
    <w:rsid w:val="00301BF6"/>
    <w:rsid w:val="003B0C4C"/>
    <w:rsid w:val="003E6D50"/>
    <w:rsid w:val="00446702"/>
    <w:rsid w:val="004E3704"/>
    <w:rsid w:val="004F3324"/>
    <w:rsid w:val="005778B4"/>
    <w:rsid w:val="00582024"/>
    <w:rsid w:val="005D10AB"/>
    <w:rsid w:val="005E6EDF"/>
    <w:rsid w:val="00602E5B"/>
    <w:rsid w:val="00625882"/>
    <w:rsid w:val="006563EB"/>
    <w:rsid w:val="00671AE2"/>
    <w:rsid w:val="006924CA"/>
    <w:rsid w:val="006F60AC"/>
    <w:rsid w:val="007D7083"/>
    <w:rsid w:val="007F01AE"/>
    <w:rsid w:val="00896474"/>
    <w:rsid w:val="00904E52"/>
    <w:rsid w:val="00922CE2"/>
    <w:rsid w:val="00A5419D"/>
    <w:rsid w:val="00A57416"/>
    <w:rsid w:val="00AC071B"/>
    <w:rsid w:val="00B008C2"/>
    <w:rsid w:val="00B168C8"/>
    <w:rsid w:val="00B429FD"/>
    <w:rsid w:val="00B537EE"/>
    <w:rsid w:val="00B558F9"/>
    <w:rsid w:val="00B67C8C"/>
    <w:rsid w:val="00B83FB0"/>
    <w:rsid w:val="00B969B6"/>
    <w:rsid w:val="00BC4A55"/>
    <w:rsid w:val="00BD570B"/>
    <w:rsid w:val="00C45D51"/>
    <w:rsid w:val="00C81DDE"/>
    <w:rsid w:val="00C95F4D"/>
    <w:rsid w:val="00CA018C"/>
    <w:rsid w:val="00D84A3C"/>
    <w:rsid w:val="00DA61FF"/>
    <w:rsid w:val="00DF4A73"/>
    <w:rsid w:val="00E83238"/>
    <w:rsid w:val="00E94103"/>
    <w:rsid w:val="00EA2BD7"/>
    <w:rsid w:val="00F615F1"/>
    <w:rsid w:val="00F73F42"/>
    <w:rsid w:val="00F758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7BA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BD7"/>
    <w:pPr>
      <w:tabs>
        <w:tab w:val="center" w:pos="4320"/>
        <w:tab w:val="right" w:pos="8640"/>
      </w:tabs>
    </w:pPr>
  </w:style>
  <w:style w:type="character" w:customStyle="1" w:styleId="HeaderChar">
    <w:name w:val="Header Char"/>
    <w:basedOn w:val="DefaultParagraphFont"/>
    <w:link w:val="Header"/>
    <w:uiPriority w:val="99"/>
    <w:rsid w:val="00EA2BD7"/>
  </w:style>
  <w:style w:type="character" w:styleId="PageNumber">
    <w:name w:val="page number"/>
    <w:basedOn w:val="DefaultParagraphFont"/>
    <w:uiPriority w:val="99"/>
    <w:semiHidden/>
    <w:unhideWhenUsed/>
    <w:rsid w:val="00EA2BD7"/>
  </w:style>
  <w:style w:type="table" w:styleId="TableGrid">
    <w:name w:val="Table Grid"/>
    <w:basedOn w:val="TableNormal"/>
    <w:uiPriority w:val="59"/>
    <w:rsid w:val="00EA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778B4"/>
  </w:style>
  <w:style w:type="character" w:customStyle="1" w:styleId="FootnoteTextChar">
    <w:name w:val="Footnote Text Char"/>
    <w:basedOn w:val="DefaultParagraphFont"/>
    <w:link w:val="FootnoteText"/>
    <w:uiPriority w:val="99"/>
    <w:rsid w:val="005778B4"/>
  </w:style>
  <w:style w:type="character" w:styleId="FootnoteReference">
    <w:name w:val="footnote reference"/>
    <w:basedOn w:val="DefaultParagraphFont"/>
    <w:uiPriority w:val="99"/>
    <w:unhideWhenUsed/>
    <w:rsid w:val="005778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BD7"/>
    <w:pPr>
      <w:tabs>
        <w:tab w:val="center" w:pos="4320"/>
        <w:tab w:val="right" w:pos="8640"/>
      </w:tabs>
    </w:pPr>
  </w:style>
  <w:style w:type="character" w:customStyle="1" w:styleId="HeaderChar">
    <w:name w:val="Header Char"/>
    <w:basedOn w:val="DefaultParagraphFont"/>
    <w:link w:val="Header"/>
    <w:uiPriority w:val="99"/>
    <w:rsid w:val="00EA2BD7"/>
  </w:style>
  <w:style w:type="character" w:styleId="PageNumber">
    <w:name w:val="page number"/>
    <w:basedOn w:val="DefaultParagraphFont"/>
    <w:uiPriority w:val="99"/>
    <w:semiHidden/>
    <w:unhideWhenUsed/>
    <w:rsid w:val="00EA2BD7"/>
  </w:style>
  <w:style w:type="table" w:styleId="TableGrid">
    <w:name w:val="Table Grid"/>
    <w:basedOn w:val="TableNormal"/>
    <w:uiPriority w:val="59"/>
    <w:rsid w:val="00EA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778B4"/>
  </w:style>
  <w:style w:type="character" w:customStyle="1" w:styleId="FootnoteTextChar">
    <w:name w:val="Footnote Text Char"/>
    <w:basedOn w:val="DefaultParagraphFont"/>
    <w:link w:val="FootnoteText"/>
    <w:uiPriority w:val="99"/>
    <w:rsid w:val="005778B4"/>
  </w:style>
  <w:style w:type="character" w:styleId="FootnoteReference">
    <w:name w:val="footnote reference"/>
    <w:basedOn w:val="DefaultParagraphFont"/>
    <w:uiPriority w:val="99"/>
    <w:unhideWhenUsed/>
    <w:rsid w:val="005778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2438</Words>
  <Characters>13898</Characters>
  <Application>Microsoft Macintosh Word</Application>
  <DocSecurity>0</DocSecurity>
  <Lines>115</Lines>
  <Paragraphs>32</Paragraphs>
  <ScaleCrop>false</ScaleCrop>
  <Company/>
  <LinksUpToDate>false</LinksUpToDate>
  <CharactersWithSpaces>16304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dc:description/>
  <cp:lastModifiedBy>Information Services</cp:lastModifiedBy>
  <cp:revision>32</cp:revision>
  <dcterms:created xsi:type="dcterms:W3CDTF">2013-08-30T08:42:00Z</dcterms:created>
  <dcterms:modified xsi:type="dcterms:W3CDTF">2013-10-09T11:21:00Z</dcterms:modified>
</cp:coreProperties>
</file>