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141539"/>
            <w:tcMar>
              <w:top w:w="720" w:type="dxa"/>
              <w:start w:w="520" w:type="dxa"/>
              <w:bottom w:w="760" w:type="dxa"/>
              <w:end w:w="520" w:type="dxa"/>
            </w:tcMar>
            <w:vAlign w:val="center"/>
          </w:tcPr>
          <w:p>
            <w:pPr>
              <w:keepNext w:val="0"/>
              <w:spacing w:before="0" w:after="36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28000" cy="5333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stone-logo-whi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53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360" w:line="254" w:lineRule="auto"/>
            </w:pPr>
            <w:r>
              <w:rPr>
                <w:rFonts w:ascii="EB Garamond" w:hAnsi="EB Garamond" w:eastAsia="Swei B2 Serif CJKtc"/>
                <w:b/>
                <w:color w:val="FFFFFF"/>
                <w:sz w:val="58"/>
              </w:rPr>
              <w:t>ONE DESIGN LANGUAGE.</w:t>
              <w:br/>
              <w:t>EVERY CLIENT EXPRESSION.</w:t>
            </w:r>
          </w:p>
          <w:p>
            <w:pPr>
              <w:keepNext w:val="0"/>
              <w:spacing w:before="0" w:after="0" w:line="324" w:lineRule="auto"/>
            </w:pPr>
            <w:r>
              <w:rPr>
                <w:rFonts w:ascii="EB Garamond" w:hAnsi="EB Garamond" w:eastAsia="Swei B2 Serif CJKtc"/>
                <w:color w:val="D8D8E2"/>
                <w:sz w:val="23"/>
              </w:rPr>
              <w:t>AI cross-format standard · HTML / Word / PowerPoint / PDF</w:t>
            </w:r>
          </w:p>
        </w:tc>
      </w:tr>
    </w:tbl>
    <w:p>
      <w:pPr>
        <w:keepNext w:val="0"/>
        <w:spacing w:before="0" w:after="6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p>
      <w:pPr>
        <w:keepNext w:val="0"/>
        <w:spacing w:before="0" w:after="240" w:line="324" w:lineRule="auto"/>
      </w:pPr>
      <w:r>
        <w:rPr>
          <w:rFonts w:ascii="EB Garamond" w:hAnsi="EB Garamond" w:eastAsia="Swei B2 Serif CJKtc"/>
          <w:b/>
          <w:color w:val="094197"/>
          <w:sz w:val="17"/>
        </w:rPr>
        <w:t>DESIGN LANGUAGE · V1.1</w:t>
      </w:r>
    </w:p>
    <w:p>
      <w:pPr>
        <w:keepNext w:val="0"/>
        <w:spacing w:before="0" w:after="360" w:line="348" w:lineRule="auto"/>
      </w:pPr>
      <w:r>
        <w:rPr>
          <w:rFonts w:ascii="EB Garamond" w:hAnsi="EB Garamond" w:eastAsia="Swei B2 Serif CJKtc"/>
          <w:b w:val="0"/>
          <w:color w:val="0A0A1E"/>
          <w:sz w:val="28"/>
        </w:rPr>
        <w:t>A shared set of tokens, composition rules, and quality gates lets AI create consistent, medium-native client deliverables from natural language.</w:t>
      </w:r>
    </w:p>
    <w:p>
      <w:pPr>
        <w:keepNext w:val="0"/>
        <w:spacing w:before="0" w:after="0" w:line="324" w:lineRule="auto"/>
      </w:pPr>
      <w:r>
        <w:rPr>
          <w:rFonts w:ascii="EB Garamond" w:hAnsi="EB Garamond" w:eastAsia="Swei B2 Serif CJKtc"/>
          <w:b w:val="0"/>
          <w:color w:val="525267"/>
          <w:sz w:val="19"/>
        </w:rPr>
        <w:t>Core colors, typography, buttons, cards, and layout anchors are calibrated from the editable Figma source.</w:t>
      </w:r>
    </w:p>
    <w:p>
      <w:r>
        <w:br w:type="page"/>
      </w:r>
    </w:p>
    <w:p>
      <w:pPr>
        <w:keepNext w:val="0"/>
        <w:spacing w:before="0" w:after="18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224000" cy="377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tone-logo-co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7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 w:line="240" w:lineRule="auto"/>
      </w:pPr>
      <w:r>
        <w:rPr>
          <w:rFonts w:ascii="EB Garamond" w:hAnsi="EB Garamond" w:eastAsia="Swei B2 Serif CJKtc"/>
          <w:b/>
          <w:color w:val="404082"/>
          <w:sz w:val="17"/>
        </w:rPr>
        <w:t>01 / SIGNATURE</w:t>
      </w:r>
    </w:p>
    <w:p>
      <w:pPr>
        <w:pStyle w:val="Heading1"/>
      </w:pPr>
      <w:r>
        <w:t>Restrained, precise, editorial</w:t>
      </w:r>
    </w:p>
    <w:p>
      <w:pPr>
        <w:keepNext w:val="0"/>
        <w:spacing w:before="0" w:after="360" w:line="324" w:lineRule="auto"/>
      </w:pPr>
      <w:r>
        <w:rPr>
          <w:rFonts w:ascii="EB Garamond" w:hAnsi="EB Garamond" w:eastAsia="Swei B2 Serif CJKtc"/>
          <w:b w:val="0"/>
          <w:color w:val="525267"/>
          <w:sz w:val="25"/>
        </w:rPr>
        <w:t>Deepstone earns trust through structure rather than decoration. Every page, slide, and screen section begins with one question: what must the reader understand now?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  <w:shd w:fill="F7F7F7"/>
          </w:tcPr>
          <w:p>
            <w:r>
              <w:rPr>
                <w:rFonts w:ascii="EB Garamond" w:hAnsi="EB Garamond" w:eastAsia="Swei B2 Serif CJKtc"/>
                <w:b/>
                <w:color w:val="094197"/>
                <w:sz w:val="18"/>
              </w:rPr>
              <w:t>01</w:t>
            </w:r>
          </w:p>
        </w:tc>
        <w:tc>
          <w:tcPr>
            <w:tcW w:type="dxa" w:w="846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</w:tcPr>
          <w:p>
            <w:pPr>
              <w:keepNext w:val="0"/>
              <w:spacing w:before="0" w:after="60" w:line="276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4"/>
              </w:rPr>
              <w:t>Structured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Grid, alignment, and spacing establish a clear reading order.</w:t>
            </w:r>
          </w:p>
        </w:tc>
      </w:tr>
      <w:tr>
        <w:tc>
          <w:tcPr>
            <w:tcW w:type="dxa" w:w="90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  <w:shd w:fill="F7F7F7"/>
          </w:tcPr>
          <w:p>
            <w:r>
              <w:rPr>
                <w:rFonts w:ascii="EB Garamond" w:hAnsi="EB Garamond" w:eastAsia="Swei B2 Serif CJKtc"/>
                <w:b/>
                <w:color w:val="094197"/>
                <w:sz w:val="18"/>
              </w:rPr>
              <w:t>02</w:t>
            </w:r>
          </w:p>
        </w:tc>
        <w:tc>
          <w:tcPr>
            <w:tcW w:type="dxa" w:w="846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</w:tcPr>
          <w:p>
            <w:pPr>
              <w:keepNext w:val="0"/>
              <w:spacing w:before="0" w:after="60" w:line="276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4"/>
              </w:rPr>
              <w:t>Dark anchors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Deep navy carries openings, section resets, and decisive actions.</w:t>
            </w:r>
          </w:p>
        </w:tc>
      </w:tr>
      <w:tr>
        <w:tc>
          <w:tcPr>
            <w:tcW w:type="dxa" w:w="90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  <w:shd w:fill="F7F7F7"/>
          </w:tcPr>
          <w:p>
            <w:r>
              <w:rPr>
                <w:rFonts w:ascii="EB Garamond" w:hAnsi="EB Garamond" w:eastAsia="Swei B2 Serif CJKtc"/>
                <w:b/>
                <w:color w:val="094197"/>
                <w:sz w:val="18"/>
              </w:rPr>
              <w:t>03</w:t>
            </w:r>
          </w:p>
        </w:tc>
        <w:tc>
          <w:tcPr>
            <w:tcW w:type="dxa" w:w="846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</w:tcPr>
          <w:p>
            <w:pPr>
              <w:keepNext w:val="0"/>
              <w:spacing w:before="0" w:after="60" w:line="276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4"/>
              </w:rPr>
              <w:t>Single accent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Royal blue appears only on actions, evidence, or links that matter.</w:t>
            </w:r>
          </w:p>
        </w:tc>
      </w:tr>
      <w:tr>
        <w:tc>
          <w:tcPr>
            <w:tcW w:type="dxa" w:w="90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  <w:shd w:fill="F7F7F7"/>
          </w:tcPr>
          <w:p>
            <w:r>
              <w:rPr>
                <w:rFonts w:ascii="EB Garamond" w:hAnsi="EB Garamond" w:eastAsia="Swei B2 Serif CJKtc"/>
                <w:b/>
                <w:color w:val="094197"/>
                <w:sz w:val="18"/>
              </w:rPr>
              <w:t>04</w:t>
            </w:r>
          </w:p>
        </w:tc>
        <w:tc>
          <w:tcPr>
            <w:tcW w:type="dxa" w:w="8460"/>
            <w:tcMar>
              <w:top w:w="180" w:type="dxa"/>
              <w:start w:w="160" w:type="dxa"/>
              <w:bottom w:w="180" w:type="dxa"/>
              <w:end w:w="160" w:type="dxa"/>
            </w:tcMar>
            <w:vAlign w:val="center"/>
          </w:tcPr>
          <w:p>
            <w:pPr>
              <w:keepNext w:val="0"/>
              <w:spacing w:before="0" w:after="60" w:line="276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4"/>
              </w:rPr>
              <w:t>Medium-native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Share the language, but never paste web cards unchanged into Word or PPT.</w:t>
            </w:r>
          </w:p>
        </w:tc>
      </w:tr>
    </w:tbl>
    <w:p>
      <w:pPr>
        <w:pStyle w:val="Heading2"/>
      </w:pPr>
      <w:r>
        <w:t>Color roles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0A0A1E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8"/>
              </w:rPr>
              <w:t>Ink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#0A0A1E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Figma primary text and button color</w:t>
            </w:r>
          </w:p>
        </w:tc>
      </w:tr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141539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8"/>
              </w:rPr>
              <w:t>Navy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#141539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Dark-band gradient start and print fallback</w:t>
            </w:r>
          </w:p>
        </w:tc>
      </w:tr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094197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8"/>
              </w:rPr>
              <w:t>Royal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#094197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Figma hover and link blue</w:t>
            </w:r>
          </w:p>
        </w:tc>
      </w:tr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404082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8"/>
              </w:rPr>
              <w:t>Blue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#404082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Editorial gradient end</w:t>
            </w:r>
          </w:p>
        </w:tc>
      </w:tr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F7F7F7"/>
          </w:tcPr>
          <w:p>
            <w:r>
              <w:rPr>
                <w:rFonts w:ascii="EB Garamond" w:hAnsi="EB Garamond" w:eastAsia="Swei B2 Serif CJKtc"/>
                <w:b/>
                <w:color w:val="0A0A1E"/>
                <w:sz w:val="18"/>
              </w:rPr>
              <w:t>Mist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#F7F7F7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Figma card and quiet surface</w:t>
            </w:r>
          </w:p>
        </w:tc>
      </w:tr>
      <w:tr>
        <w:tc>
          <w:tcPr>
            <w:tcW w:type="dxa" w:w="1500"/>
            <w:tcMar>
              <w:top w:w="120" w:type="dxa"/>
              <w:start w:w="160" w:type="dxa"/>
              <w:bottom w:w="120" w:type="dxa"/>
              <w:end w:w="160" w:type="dxa"/>
            </w:tcMar>
            <w:shd w:fill="D8D8E2"/>
          </w:tcPr>
          <w:p>
            <w:r>
              <w:rPr>
                <w:rFonts w:ascii="EB Garamond" w:hAnsi="EB Garamond" w:eastAsia="Swei B2 Serif CJKtc"/>
                <w:b/>
                <w:color w:val="0A0A1E"/>
                <w:sz w:val="18"/>
              </w:rPr>
              <w:t>Line</w:t>
            </w:r>
          </w:p>
        </w:tc>
        <w:tc>
          <w:tcPr>
            <w:tcW w:type="dxa" w:w="210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0A0A1E"/>
                <w:sz w:val="18"/>
              </w:rPr>
              <w:t>#D8D8E2</w:t>
            </w:r>
          </w:p>
        </w:tc>
        <w:tc>
          <w:tcPr>
            <w:tcW w:type="dxa" w:w="576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EB Garamond" w:hAnsi="EB Garamond" w:eastAsia="Swei B2 Serif CJKtc"/>
                <w:color w:val="525267"/>
                <w:sz w:val="18"/>
              </w:rPr>
              <w:t>Derived low-contrast rule</w:t>
            </w:r>
          </w:p>
        </w:tc>
      </w:tr>
    </w:tbl>
    <w:p>
      <w:r>
        <w:br w:type="page"/>
      </w:r>
    </w:p>
    <w:p>
      <w:pPr>
        <w:keepNext w:val="0"/>
        <w:spacing w:before="0" w:after="18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224000" cy="377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tone-logo-co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7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 w:line="240" w:lineRule="auto"/>
      </w:pPr>
      <w:r>
        <w:rPr>
          <w:rFonts w:ascii="EB Garamond" w:hAnsi="EB Garamond" w:eastAsia="Swei B2 Serif CJKtc"/>
          <w:b/>
          <w:color w:val="404082"/>
          <w:sz w:val="17"/>
        </w:rPr>
        <w:t>02 / SYSTEM</w:t>
      </w:r>
    </w:p>
    <w:p>
      <w:pPr>
        <w:pStyle w:val="Heading1"/>
      </w:pPr>
      <w:r>
        <w:t>One system, four expressions</w:t>
      </w:r>
    </w:p>
    <w:p>
      <w:pPr>
        <w:keepNext w:val="0"/>
        <w:spacing w:before="0" w:after="400" w:line="324" w:lineRule="auto"/>
      </w:pPr>
      <w:r>
        <w:rPr>
          <w:rFonts w:ascii="EB Garamond" w:hAnsi="EB Garamond" w:eastAsia="Swei B2 Serif CJKtc"/>
          <w:b w:val="0"/>
          <w:color w:val="525267"/>
          <w:sz w:val="25"/>
        </w:rPr>
        <w:t>Color, type ratios, hierarchy, and compositional rhythm stay consistent while each medium handles its own physical constraints.</w:t>
      </w:r>
    </w:p>
    <w:p>
      <w:pPr>
        <w:keepNext/>
        <w:spacing w:before="160" w:after="80" w:line="264" w:lineRule="auto"/>
      </w:pPr>
      <w:r>
        <w:rPr>
          <w:rFonts w:ascii="EB Garamond" w:hAnsi="EB Garamond" w:eastAsia="Swei B2 Serif CJKtc"/>
          <w:b/>
          <w:color w:val="0A0A1E"/>
          <w:sz w:val="34"/>
        </w:rPr>
        <w:t>HTML</w:t>
      </w:r>
      <w:r>
        <w:rPr>
          <w:rFonts w:ascii="EB Garamond" w:hAnsi="EB Garamond" w:eastAsia="Swei B2 Serif CJKtc"/>
          <w:b/>
          <w:color w:val="094197"/>
          <w:sz w:val="19"/>
        </w:rPr>
        <w:t xml:space="preserve">  Responsive, accessible, motion-aware</w:t>
      </w:r>
    </w:p>
    <w:p>
      <w:pPr>
        <w:keepNext w:val="0"/>
        <w:spacing w:before="0" w:after="200" w:line="324" w:lineRule="auto"/>
      </w:pPr>
      <w:r>
        <w:rPr>
          <w:rFonts w:ascii="EB Garamond" w:hAnsi="EB Garamond" w:eastAsia="Swei B2 Serif CJKtc"/>
          <w:b w:val="0"/>
          <w:color w:val="525267"/>
          <w:sz w:val="20"/>
        </w:rPr>
        <w:t>Semantic structure, 12/8/4 grids, and real interaction states.</w:t>
      </w:r>
    </w:p>
    <w:p>
      <w:pPr>
        <w:keepNext/>
        <w:spacing w:before="160" w:after="80" w:line="264" w:lineRule="auto"/>
      </w:pPr>
      <w:r>
        <w:rPr>
          <w:rFonts w:ascii="EB Garamond" w:hAnsi="EB Garamond" w:eastAsia="Swei B2 Serif CJKtc"/>
          <w:b/>
          <w:color w:val="0A0A1E"/>
          <w:sz w:val="34"/>
        </w:rPr>
        <w:t>Word</w:t>
      </w:r>
      <w:r>
        <w:rPr>
          <w:rFonts w:ascii="EB Garamond" w:hAnsi="EB Garamond" w:eastAsia="Swei B2 Serif CJKtc"/>
          <w:b/>
          <w:color w:val="094197"/>
          <w:sz w:val="19"/>
        </w:rPr>
        <w:t xml:space="preserve">  Designed for continuous reading and editing</w:t>
      </w:r>
    </w:p>
    <w:p>
      <w:pPr>
        <w:keepNext w:val="0"/>
        <w:spacing w:before="0" w:after="200" w:line="324" w:lineRule="auto"/>
      </w:pPr>
      <w:r>
        <w:rPr>
          <w:rFonts w:ascii="EB Garamond" w:hAnsi="EB Garamond" w:eastAsia="Swei B2 Serif CJKtc"/>
          <w:b w:val="0"/>
          <w:color w:val="525267"/>
          <w:sz w:val="20"/>
        </w:rPr>
        <w:t>Named styles, deliberate page breaks, and restrained section anchors.</w:t>
      </w:r>
    </w:p>
    <w:p>
      <w:pPr>
        <w:keepNext/>
        <w:spacing w:before="160" w:after="80" w:line="264" w:lineRule="auto"/>
      </w:pPr>
      <w:r>
        <w:rPr>
          <w:rFonts w:ascii="EB Garamond" w:hAnsi="EB Garamond" w:eastAsia="Swei B2 Serif CJKtc"/>
          <w:b/>
          <w:color w:val="0A0A1E"/>
          <w:sz w:val="34"/>
        </w:rPr>
        <w:t>PowerPoint</w:t>
      </w:r>
      <w:r>
        <w:rPr>
          <w:rFonts w:ascii="EB Garamond" w:hAnsi="EB Garamond" w:eastAsia="Swei B2 Serif CJKtc"/>
          <w:b/>
          <w:color w:val="094197"/>
          <w:sz w:val="19"/>
        </w:rPr>
        <w:t xml:space="preserve">  One point per slide, built for projection</w:t>
      </w:r>
    </w:p>
    <w:p>
      <w:pPr>
        <w:keepNext w:val="0"/>
        <w:spacing w:before="0" w:after="200" w:line="324" w:lineRule="auto"/>
      </w:pPr>
      <w:r>
        <w:rPr>
          <w:rFonts w:ascii="EB Garamond" w:hAnsi="EB Garamond" w:eastAsia="Swei B2 Serif CJKtc"/>
          <w:b w:val="0"/>
          <w:color w:val="525267"/>
          <w:sz w:val="20"/>
        </w:rPr>
        <w:t>Takeaway titles and presenter-friendly density.</w:t>
      </w:r>
    </w:p>
    <w:p>
      <w:pPr>
        <w:keepNext/>
        <w:spacing w:before="160" w:after="80" w:line="264" w:lineRule="auto"/>
      </w:pPr>
      <w:r>
        <w:rPr>
          <w:rFonts w:ascii="EB Garamond" w:hAnsi="EB Garamond" w:eastAsia="Swei B2 Serif CJKtc"/>
          <w:b/>
          <w:color w:val="0A0A1E"/>
          <w:sz w:val="34"/>
        </w:rPr>
        <w:t>PDF</w:t>
      </w:r>
      <w:r>
        <w:rPr>
          <w:rFonts w:ascii="EB Garamond" w:hAnsi="EB Garamond" w:eastAsia="Swei B2 Serif CJKtc"/>
          <w:b/>
          <w:color w:val="094197"/>
          <w:sz w:val="19"/>
        </w:rPr>
        <w:t xml:space="preserve">  Stable delivery and complete visual inspection</w:t>
      </w:r>
    </w:p>
    <w:p>
      <w:pPr>
        <w:keepNext w:val="0"/>
        <w:spacing w:before="0" w:after="200" w:line="324" w:lineRule="auto"/>
      </w:pPr>
      <w:r>
        <w:rPr>
          <w:rFonts w:ascii="EB Garamond" w:hAnsi="EB Garamond" w:eastAsia="Swei B2 Serif CJKtc"/>
          <w:b w:val="0"/>
          <w:color w:val="525267"/>
          <w:sz w:val="20"/>
        </w:rPr>
        <w:t>Choose the right source format, then render and inspect every page.</w:t>
      </w:r>
    </w:p>
    <w:p>
      <w:pPr>
        <w:pStyle w:val="Heading2"/>
      </w:pPr>
      <w:r>
        <w:t>Natural-language input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141539"/>
            <w:tcMar>
              <w:top w:w="260" w:type="dxa"/>
              <w:start w:w="320" w:type="dxa"/>
              <w:bottom w:w="260" w:type="dxa"/>
              <w:end w:w="320" w:type="dxa"/>
            </w:tcMar>
          </w:tcPr>
          <w:p>
            <w:r>
              <w:rPr>
                <w:rFonts w:ascii="EB Garamond" w:hAnsi="EB Garamond" w:eastAsia="Swei B2 Serif CJKtc"/>
                <w:b/>
                <w:color w:val="FFFFFF"/>
                <w:sz w:val="24"/>
              </w:rPr>
              <w:t>“Use the Deepstone style to turn this client proposal into a 12-slide board deck. Do not add data I have not provided.”</w:t>
            </w:r>
          </w:p>
          <w:p>
            <w:pPr>
              <w:keepNext w:val="0"/>
              <w:spacing w:before="160" w:after="0" w:line="312" w:lineRule="auto"/>
            </w:pPr>
            <w:r>
              <w:rPr>
                <w:rFonts w:ascii="EB Garamond" w:hAnsi="EB Garamond" w:eastAsia="Swei B2 Serif CJKtc"/>
                <w:color w:val="D8D8E2"/>
                <w:sz w:val="19"/>
              </w:rPr>
              <w:t>AI parses: audience · purpose · content hierarchy · format · language · constraints</w:t>
            </w:r>
          </w:p>
        </w:tc>
      </w:tr>
    </w:tbl>
    <w:p>
      <w:r>
        <w:br w:type="page"/>
      </w:r>
    </w:p>
    <w:p>
      <w:pPr>
        <w:keepNext w:val="0"/>
        <w:spacing w:before="0" w:after="18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224000" cy="377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tone-logo-co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7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 w:line="240" w:lineRule="auto"/>
      </w:pPr>
      <w:r>
        <w:rPr>
          <w:rFonts w:ascii="EB Garamond" w:hAnsi="EB Garamond" w:eastAsia="Swei B2 Serif CJKtc"/>
          <w:b/>
          <w:color w:val="404082"/>
          <w:sz w:val="17"/>
        </w:rPr>
        <w:t>03 / USAGE</w:t>
      </w:r>
    </w:p>
    <w:p>
      <w:pPr>
        <w:pStyle w:val="Heading1"/>
      </w:pPr>
      <w:r>
        <w:t>From client material to multi-format delivery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41539"/>
            <w:tcMar>
              <w:top w:w="190" w:type="dxa"/>
              <w:start w:w="160" w:type="dxa"/>
              <w:bottom w:w="190" w:type="dxa"/>
              <w:end w:w="160" w:type="dxa"/>
            </w:tcMar>
            <w:vAlign w:val="center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9"/>
              </w:rPr>
              <w:t>01</w:t>
            </w:r>
          </w:p>
        </w:tc>
        <w:tc>
          <w:tcPr>
            <w:tcW w:type="dxa" w:w="8460"/>
            <w:tcMar>
              <w:top w:w="160" w:type="dxa"/>
              <w:start w:w="220" w:type="dxa"/>
              <w:bottom w:w="160" w:type="dxa"/>
              <w:end w:w="16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3"/>
              </w:rPr>
              <w:t>Parse the brief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Extract audience, purpose, hierarchy, deliverables, and constraints.</w:t>
            </w:r>
          </w:p>
        </w:tc>
      </w:tr>
    </w:tbl>
    <w:p>
      <w:pPr>
        <w:keepNext w:val="0"/>
        <w:spacing w:before="0" w:after="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41539"/>
            <w:tcMar>
              <w:top w:w="190" w:type="dxa"/>
              <w:start w:w="160" w:type="dxa"/>
              <w:bottom w:w="190" w:type="dxa"/>
              <w:end w:w="160" w:type="dxa"/>
            </w:tcMar>
            <w:vAlign w:val="center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9"/>
              </w:rPr>
              <w:t>02</w:t>
            </w:r>
          </w:p>
        </w:tc>
        <w:tc>
          <w:tcPr>
            <w:tcW w:type="dxa" w:w="8460"/>
            <w:tcMar>
              <w:top w:w="160" w:type="dxa"/>
              <w:start w:w="220" w:type="dxa"/>
              <w:bottom w:w="160" w:type="dxa"/>
              <w:end w:w="16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3"/>
              </w:rPr>
              <w:t>Build the content master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Classify each unit as claim, evidence, detail, action, or appendix.</w:t>
            </w:r>
          </w:p>
        </w:tc>
      </w:tr>
    </w:tbl>
    <w:p>
      <w:pPr>
        <w:keepNext w:val="0"/>
        <w:spacing w:before="0" w:after="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41539"/>
            <w:tcMar>
              <w:top w:w="190" w:type="dxa"/>
              <w:start w:w="160" w:type="dxa"/>
              <w:bottom w:w="190" w:type="dxa"/>
              <w:end w:w="160" w:type="dxa"/>
            </w:tcMar>
            <w:vAlign w:val="center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9"/>
              </w:rPr>
              <w:t>03</w:t>
            </w:r>
          </w:p>
        </w:tc>
        <w:tc>
          <w:tcPr>
            <w:tcW w:type="dxa" w:w="8460"/>
            <w:tcMar>
              <w:top w:w="160" w:type="dxa"/>
              <w:start w:w="220" w:type="dxa"/>
              <w:bottom w:w="160" w:type="dxa"/>
              <w:end w:w="16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3"/>
              </w:rPr>
              <w:t>Apply design tokens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Color, type, space, radius, and motion reference defined values only.</w:t>
            </w:r>
          </w:p>
        </w:tc>
      </w:tr>
    </w:tbl>
    <w:p>
      <w:pPr>
        <w:keepNext w:val="0"/>
        <w:spacing w:before="0" w:after="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41539"/>
            <w:tcMar>
              <w:top w:w="190" w:type="dxa"/>
              <w:start w:w="160" w:type="dxa"/>
              <w:bottom w:w="190" w:type="dxa"/>
              <w:end w:w="160" w:type="dxa"/>
            </w:tcMar>
            <w:vAlign w:val="center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9"/>
              </w:rPr>
              <w:t>04</w:t>
            </w:r>
          </w:p>
        </w:tc>
        <w:tc>
          <w:tcPr>
            <w:tcW w:type="dxa" w:w="8460"/>
            <w:tcMar>
              <w:top w:w="160" w:type="dxa"/>
              <w:start w:w="220" w:type="dxa"/>
              <w:bottom w:w="160" w:type="dxa"/>
              <w:end w:w="16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3"/>
              </w:rPr>
              <w:t>Adapt to the medium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Map the same content independently to screens, paper, and slides.</w:t>
            </w:r>
          </w:p>
        </w:tc>
      </w:tr>
    </w:tbl>
    <w:p>
      <w:pPr>
        <w:keepNext w:val="0"/>
        <w:spacing w:before="0" w:after="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41539"/>
            <w:tcMar>
              <w:top w:w="190" w:type="dxa"/>
              <w:start w:w="160" w:type="dxa"/>
              <w:bottom w:w="190" w:type="dxa"/>
              <w:end w:w="160" w:type="dxa"/>
            </w:tcMar>
            <w:vAlign w:val="center"/>
          </w:tcPr>
          <w:p>
            <w:r>
              <w:rPr>
                <w:rFonts w:ascii="EB Garamond" w:hAnsi="EB Garamond" w:eastAsia="Swei B2 Serif CJKtc"/>
                <w:b/>
                <w:color w:val="FFFFFF"/>
                <w:sz w:val="19"/>
              </w:rPr>
              <w:t>05</w:t>
            </w:r>
          </w:p>
        </w:tc>
        <w:tc>
          <w:tcPr>
            <w:tcW w:type="dxa" w:w="8460"/>
            <w:tcMar>
              <w:top w:w="160" w:type="dxa"/>
              <w:start w:w="220" w:type="dxa"/>
              <w:bottom w:w="160" w:type="dxa"/>
              <w:end w:w="160" w:type="dxa"/>
            </w:tcMar>
          </w:tcPr>
          <w:p>
            <w:pPr>
              <w:keepNext w:val="0"/>
              <w:spacing w:before="0" w:after="40" w:line="264" w:lineRule="auto"/>
            </w:pPr>
            <w:r>
              <w:rPr>
                <w:rFonts w:ascii="EB Garamond" w:hAnsi="EB Garamond" w:eastAsia="Swei B2 Serif CJKtc"/>
                <w:b/>
                <w:color w:val="0A0A1E"/>
                <w:sz w:val="23"/>
              </w:rPr>
              <w:t>Render and verify</w:t>
            </w:r>
          </w:p>
          <w:p>
            <w:pPr>
              <w:keepNext w:val="0"/>
              <w:spacing w:before="0" w:after="0" w:line="312" w:lineRule="auto"/>
            </w:pPr>
            <w:r>
              <w:rPr>
                <w:rFonts w:ascii="EB Garamond" w:hAnsi="EB Garamond" w:eastAsia="Swei B2 Serif CJKtc"/>
                <w:color w:val="525267"/>
                <w:sz w:val="19"/>
              </w:rPr>
              <w:t>Inspect overflow, alignment, contrast, pagination, and motion.</w:t>
            </w:r>
          </w:p>
        </w:tc>
      </w:tr>
    </w:tbl>
    <w:p>
      <w:pPr>
        <w:keepNext w:val="0"/>
        <w:spacing w:before="0" w:after="80" w:line="324" w:lineRule="auto"/>
      </w:pPr>
      <w:r>
        <w:rPr>
          <w:rFonts w:ascii="EB Garamond" w:hAnsi="EB Garamond" w:eastAsia="Swei B2 Serif CJKtc"/>
          <w:b w:val="0"/>
          <w:color w:val="0A0A1E"/>
          <w:sz w:val="21"/>
        </w:rPr>
      </w:r>
    </w:p>
    <w:p>
      <w:pPr>
        <w:pStyle w:val="Heading2"/>
      </w:pPr>
      <w:r>
        <w:t>Quality floor</w:t>
      </w:r>
    </w:p>
    <w:p>
      <w:pPr>
        <w:pStyle w:val="ListBullet"/>
        <w:keepNext w:val="0"/>
        <w:spacing w:before="0" w:after="100" w:line="300" w:lineRule="auto"/>
      </w:pPr>
      <w:r>
        <w:rPr>
          <w:rFonts w:ascii="EB Garamond" w:hAnsi="EB Garamond" w:eastAsia="Swei B2 Serif CJKtc"/>
          <w:color w:val="0A0A1E"/>
          <w:sz w:val="20"/>
        </w:rPr>
        <w:t>Never invent client facts, data, quotations, or case studies.</w:t>
      </w:r>
    </w:p>
    <w:p>
      <w:pPr>
        <w:pStyle w:val="ListBullet"/>
        <w:keepNext w:val="0"/>
        <w:spacing w:before="0" w:after="100" w:line="300" w:lineRule="auto"/>
      </w:pPr>
      <w:r>
        <w:rPr>
          <w:rFonts w:ascii="EB Garamond" w:hAnsi="EB Garamond" w:eastAsia="Swei B2 Serif CJKtc"/>
          <w:color w:val="0A0A1E"/>
          <w:sz w:val="20"/>
        </w:rPr>
        <w:t>Use only the approved DeepStone gradients; avoid glass effects, floating decoration, and excessive rounded cards.</w:t>
      </w:r>
    </w:p>
    <w:p>
      <w:pPr>
        <w:pStyle w:val="ListBullet"/>
        <w:keepNext w:val="0"/>
        <w:spacing w:before="0" w:after="100" w:line="300" w:lineRule="auto"/>
      </w:pPr>
      <w:r>
        <w:rPr>
          <w:rFonts w:ascii="EB Garamond" w:hAnsi="EB Garamond" w:eastAsia="Swei B2 Serif CJKtc"/>
          <w:color w:val="0A0A1E"/>
          <w:sz w:val="20"/>
        </w:rPr>
        <w:t>Every final artifact must pass a real render and visual inspection.</w:t>
      </w:r>
    </w:p>
    <w:p>
      <w:pPr>
        <w:pStyle w:val="ListBullet"/>
        <w:keepNext w:val="0"/>
        <w:spacing w:before="0" w:after="100" w:line="300" w:lineRule="auto"/>
      </w:pPr>
      <w:r>
        <w:rPr>
          <w:rFonts w:ascii="EB Garamond" w:hAnsi="EB Garamond" w:eastAsia="Swei B2 Serif CJKtc"/>
          <w:color w:val="0A0A1E"/>
          <w:sz w:val="20"/>
        </w:rPr>
        <w:t>Use clearly labeled placeholders for missing logos or imagery instead of blocking.</w:t>
      </w:r>
    </w:p>
    <w:p>
      <w:pPr>
        <w:keepNext w:val="0"/>
        <w:spacing w:before="0" w:after="160" w:line="324" w:lineRule="auto"/>
      </w:pPr>
      <w:r>
        <w:rPr>
          <w:rFonts w:ascii="EB Garamond" w:hAnsi="EB Garamond" w:eastAsia="Swei B2 Serif CJKtc"/>
          <w:b/>
          <w:color w:val="094197"/>
          <w:sz w:val="17"/>
        </w:rPr>
        <w:t>DEEPSTONE / FIGMA-CALIBRATED CORE</w:t>
      </w:r>
    </w:p>
    <w:p>
      <w:pPr>
        <w:keepNext w:val="0"/>
        <w:spacing w:before="0" w:after="0" w:line="324" w:lineRule="auto"/>
      </w:pPr>
      <w:r>
        <w:rPr>
          <w:rFonts w:ascii="EB Garamond" w:hAnsi="EB Garamond" w:eastAsia="Swei B2 Serif CJKtc"/>
          <w:b/>
          <w:color w:val="0A0A1E"/>
          <w:sz w:val="28"/>
        </w:rPr>
        <w:t>Use the shared content map and verified tokens to generate native HTML, Word, PowerPoint, and PDF deliverables.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EB Garamond" w:hAnsi="EB Garamond" w:eastAsia="Swei B2 Serif CJKtc"/>
        <w:color w:val="525267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EB Garamond" w:hAnsi="EB Garamond" w:eastAsia="Swei B2 Serif CJKtc"/>
      <w:color w:val="0A0A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EB Garamond" w:hAnsi="EB Garamond" w:eastAsia="Swei B2 Serif CJKtc"/>
      <w:b/>
      <w:bCs/>
      <w:color w:val="0A0A1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EB Garamond" w:hAnsi="EB Garamond" w:eastAsia="Swei B2 Serif CJKtc"/>
      <w:b/>
      <w:bCs/>
      <w:color w:val="1415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EB Garamond" w:hAnsi="EB Garamond" w:eastAsia="Swei B2 Serif CJKtc"/>
      <w:b/>
      <w:bCs/>
      <w:color w:val="0941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Deepstone Design Language v1.1</dc:title>
  <dc:subject>AI cross-format design standard</dc:subject>
  <dc:creator>Deepstone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