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Spark Avocats</w:t>
      </w:r>
    </w:p>
    <w:p w:rsidR="00000000" w:rsidDel="00000000" w:rsidP="00000000" w:rsidRDefault="00000000" w:rsidRPr="00000000" w14:paraId="00000009">
      <w:pPr>
        <w:rPr/>
        <w:jc w:val="right"/>
      </w:pPr>
      <w:r w:rsidDel="00000000" w:rsidR="00000000" w:rsidRPr="00000000">
        <w:rPr>
          <w:rtl w:val="0"/>
        </w:rPr>
        <w:t xml:space="preserve">   À l'attention de Maître Matthieu de Soultrait, Avocat associé fondateur</w:t>
      </w:r>
    </w:p>
    <w:p w:rsidR="00000000" w:rsidDel="00000000" w:rsidP="00000000" w:rsidRDefault="00000000" w:rsidRPr="00000000" w14:paraId="0000000A">
      <w:pPr>
        <w:rPr/>
        <w:jc w:val="right"/>
      </w:pPr>
      <w:r w:rsidDel="00000000" w:rsidR="00000000" w:rsidRPr="00000000">
        <w:rPr>
          <w:rtl w:val="0"/>
        </w:rPr>
        <w:t xml:space="preserve">   35 Bd Malesherbes</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spontanée pour un stage au sein du département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l'équipe Restructuring de Spark Avocats.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