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Maître Ariane Olive, Avocat associé fondateur</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