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Spark Avocats</w:t>
      </w:r>
    </w:p>
    <w:p w:rsidR="00000000" w:rsidDel="00000000" w:rsidP="00000000" w:rsidRDefault="00000000" w:rsidRPr="00000000" w14:paraId="00000009">
      <w:pPr>
        <w:rPr/>
        <w:jc w:val="right"/>
      </w:pPr>
      <w:r w:rsidDel="00000000" w:rsidR="00000000" w:rsidRPr="00000000">
        <w:rPr>
          <w:rtl w:val="0"/>
        </w:rPr>
        <w:t xml:space="preserve">   À l'attention de Maître Guilhem Sauve</w:t>
      </w:r>
    </w:p>
    <w:p w:rsidR="00000000" w:rsidDel="00000000" w:rsidP="00000000" w:rsidRDefault="00000000" w:rsidRPr="00000000" w14:paraId="0000000A">
      <w:pPr>
        <w:rPr/>
        <w:jc w:val="right"/>
      </w:pPr>
      <w:r w:rsidDel="00000000" w:rsidR="00000000" w:rsidRPr="00000000">
        <w:rPr>
          <w:rtl w:val="0"/>
        </w:rPr>
        <w:t xml:space="preserve">   35 Bd Malesherbes</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au sein du département Restructuring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l'équipe Restructuring du cabinet Spark Avocats.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