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Hashtag Avocats</w:t>
      </w:r>
    </w:p>
    <w:p w:rsidR="00000000" w:rsidDel="00000000" w:rsidP="00000000" w:rsidRDefault="00000000" w:rsidRPr="00000000" w14:paraId="0000000A">
      <w:pPr>
        <w:rPr/>
        <w:jc w:val="right"/>
      </w:pPr>
      <w:r w:rsidDel="00000000" w:rsidR="00000000" w:rsidRPr="00000000">
        <w:rPr>
          <w:rtl w:val="0"/>
        </w:rPr>
        <w:t xml:space="preserve">   51 Av. Franklin Delano Roosevelt</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notamment les acteurs du numérique et les startups, en difficulté dans les différentes phases du Restructuring.</w:t>
      </w:r>
    </w:p>
    <w:p>
      <w:pPr>
        <w:rPr/>
        <w:spacing w:after="160"/>
      </w:pPr>
      <w:r>
        <w:rPr>
          <w:rtl w:val="0"/>
        </w:rPr>
        <w:t xml:space="preserve">Disponible pour un stage à temps plein de janvier à juillet 2026, je serais honoré de rejoindre le cabinet Hashtag Avocats. Participer au conseil aux sociétés innovantes,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cabinet dont l'expertise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