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d'avocats NovLaw</w:t>
      </w:r>
    </w:p>
    <w:p w:rsidR="00000000" w:rsidDel="00000000" w:rsidP="00000000" w:rsidRDefault="00000000" w:rsidRPr="00000000" w14:paraId="00000009">
      <w:pPr>
        <w:rPr/>
        <w:jc w:val="right"/>
      </w:pPr>
      <w:r w:rsidDel="00000000" w:rsidR="00000000" w:rsidRPr="00000000">
        <w:rPr>
          <w:rtl w:val="0"/>
        </w:rPr>
        <w:t xml:space="preserve">   À l'attention de Maître Lior Delfassy, Avocat associé</w:t>
      </w:r>
    </w:p>
    <w:p w:rsidR="00000000" w:rsidDel="00000000" w:rsidP="00000000" w:rsidRDefault="00000000" w:rsidRPr="00000000" w14:paraId="0000000A">
      <w:pPr>
        <w:rPr/>
        <w:jc w:val="right"/>
      </w:pPr>
      <w:r w:rsidDel="00000000" w:rsidR="00000000" w:rsidRPr="00000000">
        <w:rPr>
          <w:rtl w:val="0"/>
        </w:rPr>
        <w:t xml:space="preserve">   53 Bd de Magenta</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Objet : Candidature spontanée pour un stage en Restructuring / Droit des affaires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NovLaw.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