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Antoine Carle,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l'équipe de droit des affaires du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