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LLA Avocats</w:t>
      </w:r>
    </w:p>
    <w:p w:rsidR="00000000" w:rsidDel="00000000" w:rsidP="00000000" w:rsidRDefault="00000000" w:rsidRPr="00000000" w14:paraId="00000009">
      <w:pPr>
        <w:rPr/>
        <w:jc w:val="right"/>
      </w:pPr>
      <w:r w:rsidDel="00000000" w:rsidR="00000000" w:rsidRPr="00000000">
        <w:rPr>
          <w:rtl w:val="0"/>
        </w:rPr>
        <w:t xml:space="preserve">   À l'attention de Maître Marc Ladreit de Lacharrière, Avocat associé - Responsable du pôle Droit des affaires</w:t>
      </w:r>
    </w:p>
    <w:p w:rsidR="00000000" w:rsidDel="00000000" w:rsidP="00000000" w:rsidRDefault="00000000" w:rsidRPr="00000000" w14:paraId="0000000A">
      <w:pPr>
        <w:rPr/>
        <w:jc w:val="right"/>
      </w:pPr>
      <w:r w:rsidDel="00000000" w:rsidR="00000000" w:rsidRPr="00000000">
        <w:rPr>
          <w:rtl w:val="0"/>
        </w:rPr>
        <w:t xml:space="preserve">   30 Rue de Miromesnil</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pôle Droit des affaires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pôle Droit des affaires du cabinet LLA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