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LLA Avocats</w:t>
      </w:r>
    </w:p>
    <w:p w:rsidR="00000000" w:rsidDel="00000000" w:rsidP="00000000" w:rsidRDefault="00000000" w:rsidRPr="00000000" w14:paraId="00000009">
      <w:pPr>
        <w:rPr/>
        <w:jc w:val="right"/>
      </w:pPr>
      <w:r w:rsidDel="00000000" w:rsidR="00000000" w:rsidRPr="00000000">
        <w:rPr>
          <w:rtl w:val="0"/>
        </w:rPr>
        <w:t xml:space="preserve">   À l'attention de Maître Johanna Seror, Avocat associée - Département Droit des affaires</w:t>
      </w:r>
    </w:p>
    <w:p w:rsidR="00000000" w:rsidDel="00000000" w:rsidP="00000000" w:rsidRDefault="00000000" w:rsidRPr="00000000" w14:paraId="0000000A">
      <w:pPr>
        <w:rPr/>
        <w:jc w:val="right"/>
      </w:pPr>
      <w:r w:rsidDel="00000000" w:rsidR="00000000" w:rsidRPr="00000000">
        <w:rPr>
          <w:rtl w:val="0"/>
        </w:rPr>
        <w:t xml:space="preserve">   30 Rue de Miromesnil</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au sein du département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Droit des affaires du cabinet LLA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