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Marion Lacome d'Estalenx</w:t>
      </w:r>
    </w:p>
    <w:p w:rsidR="00000000" w:rsidDel="00000000" w:rsidP="00000000" w:rsidRDefault="00000000" w:rsidRPr="00000000" w14:paraId="00000009">
      <w:pPr>
        <w:rPr/>
        <w:jc w:val="right"/>
      </w:pPr>
      <w:r w:rsidDel="00000000" w:rsidR="00000000" w:rsidRPr="00000000">
        <w:rPr>
          <w:rtl w:val="0"/>
        </w:rPr>
        <w:t xml:space="preserve">   À l'attention de Maître Guillaume Marquis, Associé</w:t>
      </w:r>
    </w:p>
    <w:p w:rsidR="00000000" w:rsidDel="00000000" w:rsidP="00000000" w:rsidRDefault="00000000" w:rsidRPr="00000000" w14:paraId="0000000A">
      <w:pPr>
        <w:rPr/>
        <w:jc w:val="right"/>
      </w:pPr>
      <w:r w:rsidDel="00000000" w:rsidR="00000000" w:rsidRPr="00000000">
        <w:rPr>
          <w:rtl w:val="0"/>
        </w:rPr>
        <w:t xml:space="preserve">   15 Rue de Bellefond</w:t>
      </w:r>
    </w:p>
    <w:p w:rsidR="00000000" w:rsidDel="00000000" w:rsidP="00000000" w:rsidRDefault="00000000" w:rsidRPr="00000000" w14:paraId="0000000B">
      <w:pPr>
        <w:rPr/>
        <w:jc w:val="right"/>
      </w:pPr>
      <w:r w:rsidDel="00000000" w:rsidR="00000000" w:rsidRPr="00000000">
        <w:rPr>
          <w:rtl w:val="0"/>
        </w:rPr>
        <w:t xml:space="preserve">   75009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pour un stage en Droit Public et Droit Immobilier (janvier à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développer une expertise transversale en droit immobilier et en droit public des affaires.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dossiers à forte dimension stratégique et matérielle. C’est dans cette perspective que la pratique du droit immobilier et public m’est apparue comme une voie naturelle, alliant rigueur juridique, compréhension financière et accompagnement d’acteurs confrontés à des enjeux fonciers et réglementaires complexes.</w:t>
      </w:r>
    </w:p>
    <w:p>
      <w:pPr>
        <w:rPr/>
        <w:spacing w:after="160"/>
      </w:pPr>
      <w:r>
        <w:rPr>
          <w:rtl w:val="0"/>
        </w:rPr>
        <w:t xml:space="preserve">La création d’un dossier fictif en Restructuring, supervisée par Maître BREMOND, associé chez Freshfields Bruckhaus Deringer, a été un véritable déclic quant à la gestion des actifs en difficulté. J’ai approfondi cette sensibilité juridique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w:t>
      </w:r>
    </w:p>
    <w:p>
      <w:pPr>
        <w:rPr/>
        <w:spacing w:after="160"/>
      </w:pPr>
      <w:r>
        <w:rPr>
          <w:rtl w:val="0"/>
        </w:rPr>
        <w:t xml:space="preserve">Je suis aujourd’hui désireux de me confronter à des dossiers exigeants, où l’enjeu ne se limite pas à la conclusion d’un contrat, mais engage souvent la structuration de projets immobiliers ou publics d'envergure. Mon ambition est claire : acquérir les compétences nécessaires pour accompagner vos clients dans leurs problématiques en droit public et immobilier.</w:t>
      </w:r>
    </w:p>
    <w:p>
      <w:pPr>
        <w:rPr/>
        <w:spacing w:after="160"/>
      </w:pPr>
      <w:r>
        <w:rPr>
          <w:rtl w:val="0"/>
        </w:rPr>
        <w:t xml:space="preserve">Disponible pour un stage à temps plein de janvier à juillet 2026, je serais honoré de rejoindre votre cabinet. Participer au conseil et au contentieux liés aux opérations immobilières, à l'urbanisme ou aux contrats publics représente pour moi une expérience particulièrement formatrice. Contribuer à la sécurisation juridique de ces projets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