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Maître Rafik RABIA</w:t>
      </w:r>
    </w:p>
    <w:p w:rsidR="00000000" w:rsidDel="00000000" w:rsidP="00000000" w:rsidRDefault="00000000" w:rsidRPr="00000000" w14:paraId="00000009">
      <w:pPr>
        <w:rPr/>
        <w:jc w:val="right"/>
      </w:pPr>
      <w:r w:rsidDel="00000000" w:rsidR="00000000" w:rsidRPr="00000000">
        <w:rPr>
          <w:rtl w:val="0"/>
        </w:rPr>
        <w:t xml:space="preserve">   Avocat Fondateur</w:t>
      </w:r>
    </w:p>
    <w:p w:rsidR="00000000" w:rsidDel="00000000" w:rsidP="00000000" w:rsidRDefault="00000000" w:rsidRPr="00000000" w14:paraId="0000000A">
      <w:pPr>
        <w:rPr/>
        <w:jc w:val="right"/>
      </w:pPr>
      <w:r w:rsidDel="00000000" w:rsidR="00000000" w:rsidRPr="00000000">
        <w:rPr>
          <w:rtl w:val="0"/>
        </w:rPr>
        <w:t xml:space="preserve">   222 Bd Saint-Germain</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votre cabinet.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