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DENALI AVOCAT</w:t>
      </w:r>
    </w:p>
    <w:p w:rsidR="00000000" w:rsidDel="00000000" w:rsidP="00000000" w:rsidRDefault="00000000" w:rsidRPr="00000000" w14:paraId="0000000A">
      <w:pPr>
        <w:rPr/>
        <w:jc w:val="right"/>
      </w:pPr>
      <w:r w:rsidDel="00000000" w:rsidR="00000000" w:rsidRPr="00000000">
        <w:rPr>
          <w:rtl w:val="0"/>
        </w:rPr>
        <w:t xml:space="preserve">   222 Bd Saint-Germain</w:t>
      </w:r>
    </w:p>
    <w:p w:rsidR="00000000" w:rsidDel="00000000" w:rsidP="00000000" w:rsidRDefault="00000000" w:rsidRPr="00000000" w14:paraId="0000000B">
      <w:pPr>
        <w:rPr/>
        <w:jc w:val="right"/>
      </w:pPr>
      <w:r w:rsidDel="00000000" w:rsidR="00000000" w:rsidRPr="00000000">
        <w:rPr>
          <w:rtl w:val="0"/>
        </w:rPr>
        <w:t xml:space="preserve">   75007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Droit des affaires /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DENALI AVOCAT.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Intégrer votre structure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