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 Cabinet d'Avocats en Droit des Affaires</w:t>
      </w:r>
    </w:p>
    <w:p w:rsidR="00000000" w:rsidDel="00000000" w:rsidP="00000000" w:rsidRDefault="00000000" w:rsidRPr="00000000" w14:paraId="00000009">
      <w:pPr>
        <w:rPr/>
        <w:jc w:val="right"/>
      </w:pPr>
      <w:r w:rsidDel="00000000" w:rsidR="00000000" w:rsidRPr="00000000">
        <w:rPr>
          <w:rtl w:val="0"/>
        </w:rPr>
        <w:t xml:space="preserve">   À l'attention de Maître Véronique Roubine</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Une telle opportunité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