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0ACCC"/>
    <w:p w14:paraId="0F0E72D9"/>
    <w:p w14:paraId="798C45C8"/>
    <w:p w14:paraId="4C9D6D9A">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eastAsia="黑体"/>
          <w:b/>
          <w:sz w:val="32"/>
        </w:rPr>
        <w:t>福州地铁接触网智能化检测系统研发项目</w:t>
      </w:r>
    </w:p>
    <w:p w14:paraId="49BA4220">
      <w:pPr>
        <w:keepNext w:val="0"/>
        <w:keepLines w:val="0"/>
        <w:pageBreakBefore w:val="0"/>
        <w:widowControl w:val="0"/>
        <w:kinsoku/>
        <w:wordWrap/>
        <w:overflowPunct/>
        <w:topLinePunct w:val="0"/>
        <w:autoSpaceDE/>
        <w:autoSpaceDN/>
        <w:bidi w:val="0"/>
        <w:adjustRightInd/>
        <w:snapToGrid/>
        <w:spacing w:before="480"/>
        <w:ind w:firstLine="0" w:firstLineChars="0"/>
        <w:jc w:val="center"/>
        <w:textAlignment w:val="auto"/>
      </w:pPr>
      <w:r>
        <w:rPr>
          <w:rFonts w:eastAsia="黑体"/>
          <w:b/>
          <w:sz w:val="52"/>
        </w:rPr>
        <w:t>深度学习缺陷检测模型改进计划</w:t>
      </w:r>
    </w:p>
    <w:p w14:paraId="7B8AC147">
      <w:pPr>
        <w:spacing w:before="200"/>
        <w:jc w:val="center"/>
      </w:pPr>
      <w:r>
        <w:rPr>
          <w:rFonts w:eastAsia="黑体"/>
          <w:sz w:val="30"/>
        </w:rPr>
        <w:t>（2026 年 8 月—2026 年 9 月）</w:t>
      </w:r>
    </w:p>
    <w:p w14:paraId="381C12AA"/>
    <w:p w14:paraId="2FA0E29C"/>
    <w:p w14:paraId="37DBB3CA"/>
    <w:p w14:paraId="07DD72B0"/>
    <w:p w14:paraId="7EC38B21"/>
    <w:p w14:paraId="3AAEBFC5">
      <w:pPr>
        <w:spacing w:line="432" w:lineRule="auto"/>
        <w:jc w:val="center"/>
      </w:pPr>
      <w:r>
        <w:rPr>
          <w:rFonts w:eastAsia="仿宋"/>
          <w:sz w:val="28"/>
        </w:rPr>
        <w:t>版　　本：V1.0</w:t>
      </w:r>
    </w:p>
    <w:p w14:paraId="73FF6F48">
      <w:pPr>
        <w:spacing w:line="432" w:lineRule="auto"/>
        <w:jc w:val="center"/>
      </w:pPr>
      <w:r>
        <w:rPr>
          <w:rFonts w:eastAsia="仿宋"/>
          <w:sz w:val="28"/>
        </w:rPr>
        <w:t>编制单位：项目算法研发组</w:t>
      </w:r>
    </w:p>
    <w:p w14:paraId="3D5EC8B8">
      <w:pPr>
        <w:spacing w:line="432" w:lineRule="auto"/>
        <w:jc w:val="center"/>
      </w:pPr>
      <w:r>
        <w:rPr>
          <w:rFonts w:eastAsia="仿宋"/>
          <w:sz w:val="28"/>
        </w:rPr>
        <w:t>编制日期：2026 年 8 月</w:t>
      </w:r>
    </w:p>
    <w:p w14:paraId="339069BC">
      <w:r>
        <w:br w:type="page"/>
      </w:r>
    </w:p>
    <w:p w14:paraId="2E2B8DA9">
      <w:pPr>
        <w:pStyle w:val="2"/>
      </w:pPr>
      <w:bookmarkStart w:id="0" w:name="_Toc11919"/>
      <w:r>
        <w:rPr>
          <w:rFonts w:eastAsia="黑体"/>
        </w:rPr>
        <w:t>目　录</w:t>
      </w:r>
      <w:bookmarkEnd w:id="0"/>
    </w:p>
    <w:p w14:paraId="28D84668">
      <w:pPr>
        <w:pStyle w:val="13"/>
        <w:tabs>
          <w:tab w:val="right" w:leader="dot" w:pos="8306"/>
        </w:tabs>
      </w:pPr>
      <w:r>
        <w:fldChar w:fldCharType="begin"/>
      </w:r>
      <w:r>
        <w:instrText xml:space="preserve"> TOC \o "1-2" \h \z \u </w:instrText>
      </w:r>
      <w:r>
        <w:fldChar w:fldCharType="separate"/>
      </w:r>
      <w:r>
        <w:fldChar w:fldCharType="begin"/>
      </w:r>
      <w:r>
        <w:instrText xml:space="preserve"> HYPERLINK \l _Toc11919 </w:instrText>
      </w:r>
      <w:r>
        <w:fldChar w:fldCharType="separate"/>
      </w:r>
      <w:r>
        <w:rPr>
          <w:rFonts w:eastAsia="黑体"/>
        </w:rPr>
        <w:t>目　录</w:t>
      </w:r>
      <w:r>
        <w:tab/>
      </w:r>
      <w:r>
        <w:fldChar w:fldCharType="begin"/>
      </w:r>
      <w:r>
        <w:instrText xml:space="preserve"> PAGEREF _Toc11919 \h </w:instrText>
      </w:r>
      <w:r>
        <w:fldChar w:fldCharType="separate"/>
      </w:r>
      <w:r>
        <w:t>2</w:t>
      </w:r>
      <w:r>
        <w:fldChar w:fldCharType="end"/>
      </w:r>
      <w:r>
        <w:fldChar w:fldCharType="end"/>
      </w:r>
    </w:p>
    <w:p w14:paraId="7F424756">
      <w:pPr>
        <w:pStyle w:val="13"/>
        <w:tabs>
          <w:tab w:val="right" w:leader="dot" w:pos="8306"/>
        </w:tabs>
      </w:pPr>
      <w:r>
        <w:fldChar w:fldCharType="begin"/>
      </w:r>
      <w:r>
        <w:instrText xml:space="preserve"> HYPERLINK \l _Toc17598 </w:instrText>
      </w:r>
      <w:r>
        <w:fldChar w:fldCharType="separate"/>
      </w:r>
      <w:r>
        <w:rPr>
          <w:rFonts w:eastAsia="黑体"/>
        </w:rPr>
        <w:t>第一部分　当前模型性能分析与不足</w:t>
      </w:r>
      <w:r>
        <w:tab/>
      </w:r>
      <w:r>
        <w:fldChar w:fldCharType="begin"/>
      </w:r>
      <w:r>
        <w:instrText xml:space="preserve"> PAGEREF _Toc17598 \h </w:instrText>
      </w:r>
      <w:r>
        <w:fldChar w:fldCharType="separate"/>
      </w:r>
      <w:r>
        <w:t>3</w:t>
      </w:r>
      <w:r>
        <w:fldChar w:fldCharType="end"/>
      </w:r>
      <w:r>
        <w:fldChar w:fldCharType="end"/>
      </w:r>
    </w:p>
    <w:p w14:paraId="2F2BE612">
      <w:pPr>
        <w:pStyle w:val="14"/>
        <w:tabs>
          <w:tab w:val="right" w:leader="dot" w:pos="8306"/>
        </w:tabs>
      </w:pPr>
      <w:r>
        <w:fldChar w:fldCharType="begin"/>
      </w:r>
      <w:r>
        <w:instrText xml:space="preserve"> HYPERLINK \l _Toc18547 </w:instrText>
      </w:r>
      <w:r>
        <w:fldChar w:fldCharType="separate"/>
      </w:r>
      <w:r>
        <w:rPr>
          <w:rFonts w:eastAsia="黑体"/>
        </w:rPr>
        <w:t>（一）项目背景与验收要求</w:t>
      </w:r>
      <w:r>
        <w:tab/>
      </w:r>
      <w:r>
        <w:fldChar w:fldCharType="begin"/>
      </w:r>
      <w:r>
        <w:instrText xml:space="preserve"> PAGEREF _Toc18547 \h </w:instrText>
      </w:r>
      <w:r>
        <w:fldChar w:fldCharType="separate"/>
      </w:r>
      <w:r>
        <w:t>3</w:t>
      </w:r>
      <w:r>
        <w:fldChar w:fldCharType="end"/>
      </w:r>
      <w:r>
        <w:fldChar w:fldCharType="end"/>
      </w:r>
    </w:p>
    <w:p w14:paraId="65C3D72D">
      <w:pPr>
        <w:pStyle w:val="14"/>
        <w:tabs>
          <w:tab w:val="right" w:leader="dot" w:pos="8306"/>
        </w:tabs>
      </w:pPr>
      <w:r>
        <w:fldChar w:fldCharType="begin"/>
      </w:r>
      <w:r>
        <w:instrText xml:space="preserve"> HYPERLINK \l _Toc12606 </w:instrText>
      </w:r>
      <w:r>
        <w:fldChar w:fldCharType="separate"/>
      </w:r>
      <w:r>
        <w:rPr>
          <w:rFonts w:eastAsia="黑体"/>
        </w:rPr>
        <w:t>（二）模型性能分析</w:t>
      </w:r>
      <w:r>
        <w:tab/>
      </w:r>
      <w:r>
        <w:fldChar w:fldCharType="begin"/>
      </w:r>
      <w:r>
        <w:instrText xml:space="preserve"> PAGEREF _Toc12606 \h </w:instrText>
      </w:r>
      <w:r>
        <w:fldChar w:fldCharType="separate"/>
      </w:r>
      <w:r>
        <w:t>3</w:t>
      </w:r>
      <w:r>
        <w:fldChar w:fldCharType="end"/>
      </w:r>
      <w:r>
        <w:fldChar w:fldCharType="end"/>
      </w:r>
    </w:p>
    <w:p w14:paraId="06E0F120">
      <w:pPr>
        <w:pStyle w:val="14"/>
        <w:tabs>
          <w:tab w:val="right" w:leader="dot" w:pos="8306"/>
        </w:tabs>
      </w:pPr>
      <w:r>
        <w:fldChar w:fldCharType="begin"/>
      </w:r>
      <w:r>
        <w:instrText xml:space="preserve"> HYPERLINK \l _Toc1806 </w:instrText>
      </w:r>
      <w:r>
        <w:fldChar w:fldCharType="separate"/>
      </w:r>
      <w:r>
        <w:rPr>
          <w:rFonts w:eastAsia="黑体"/>
        </w:rPr>
        <w:t>（三）缺陷类型覆盖不全面</w:t>
      </w:r>
      <w:r>
        <w:tab/>
      </w:r>
      <w:r>
        <w:fldChar w:fldCharType="begin"/>
      </w:r>
      <w:r>
        <w:instrText xml:space="preserve"> PAGEREF _Toc1806 \h </w:instrText>
      </w:r>
      <w:r>
        <w:fldChar w:fldCharType="separate"/>
      </w:r>
      <w:r>
        <w:t>4</w:t>
      </w:r>
      <w:r>
        <w:fldChar w:fldCharType="end"/>
      </w:r>
      <w:r>
        <w:fldChar w:fldCharType="end"/>
      </w:r>
    </w:p>
    <w:p w14:paraId="635C7AF9">
      <w:pPr>
        <w:pStyle w:val="14"/>
        <w:tabs>
          <w:tab w:val="right" w:leader="dot" w:pos="8306"/>
        </w:tabs>
      </w:pPr>
      <w:r>
        <w:fldChar w:fldCharType="begin"/>
      </w:r>
      <w:r>
        <w:instrText xml:space="preserve"> HYPERLINK \l _Toc20792 </w:instrText>
      </w:r>
      <w:r>
        <w:fldChar w:fldCharType="separate"/>
      </w:r>
      <w:r>
        <w:rPr>
          <w:rFonts w:eastAsia="黑体"/>
        </w:rPr>
        <w:t>（四）数据集构建不完善</w:t>
      </w:r>
      <w:r>
        <w:tab/>
      </w:r>
      <w:r>
        <w:fldChar w:fldCharType="begin"/>
      </w:r>
      <w:r>
        <w:instrText xml:space="preserve"> PAGEREF _Toc20792 \h </w:instrText>
      </w:r>
      <w:r>
        <w:fldChar w:fldCharType="separate"/>
      </w:r>
      <w:r>
        <w:t>5</w:t>
      </w:r>
      <w:r>
        <w:fldChar w:fldCharType="end"/>
      </w:r>
      <w:r>
        <w:fldChar w:fldCharType="end"/>
      </w:r>
    </w:p>
    <w:p w14:paraId="672862CE">
      <w:pPr>
        <w:pStyle w:val="14"/>
        <w:tabs>
          <w:tab w:val="right" w:leader="dot" w:pos="8306"/>
        </w:tabs>
      </w:pPr>
      <w:r>
        <w:fldChar w:fldCharType="begin"/>
      </w:r>
      <w:r>
        <w:instrText xml:space="preserve"> HYPERLINK \l _Toc23381 </w:instrText>
      </w:r>
      <w:r>
        <w:fldChar w:fldCharType="separate"/>
      </w:r>
      <w:r>
        <w:rPr>
          <w:rFonts w:eastAsia="黑体"/>
        </w:rPr>
        <w:t>（五）缺陷类型理解偏差与术语混乱</w:t>
      </w:r>
      <w:r>
        <w:tab/>
      </w:r>
      <w:r>
        <w:fldChar w:fldCharType="begin"/>
      </w:r>
      <w:r>
        <w:instrText xml:space="preserve"> PAGEREF _Toc23381 \h </w:instrText>
      </w:r>
      <w:r>
        <w:fldChar w:fldCharType="separate"/>
      </w:r>
      <w:r>
        <w:t>6</w:t>
      </w:r>
      <w:r>
        <w:fldChar w:fldCharType="end"/>
      </w:r>
      <w:r>
        <w:fldChar w:fldCharType="end"/>
      </w:r>
    </w:p>
    <w:p w14:paraId="146BA1C5">
      <w:pPr>
        <w:pStyle w:val="13"/>
        <w:tabs>
          <w:tab w:val="right" w:leader="dot" w:pos="8306"/>
        </w:tabs>
      </w:pPr>
      <w:r>
        <w:fldChar w:fldCharType="begin"/>
      </w:r>
      <w:r>
        <w:instrText xml:space="preserve"> HYPERLINK \l _Toc24795 </w:instrText>
      </w:r>
      <w:r>
        <w:fldChar w:fldCharType="separate"/>
      </w:r>
      <w:r>
        <w:rPr>
          <w:rFonts w:eastAsia="黑体"/>
        </w:rPr>
        <w:t>第二部分　8 月 15 日前任务目标及要做的工作</w:t>
      </w:r>
      <w:r>
        <w:tab/>
      </w:r>
      <w:r>
        <w:fldChar w:fldCharType="begin"/>
      </w:r>
      <w:r>
        <w:instrText xml:space="preserve"> PAGEREF _Toc24795 \h </w:instrText>
      </w:r>
      <w:r>
        <w:fldChar w:fldCharType="separate"/>
      </w:r>
      <w:r>
        <w:t>7</w:t>
      </w:r>
      <w:r>
        <w:fldChar w:fldCharType="end"/>
      </w:r>
      <w:r>
        <w:fldChar w:fldCharType="end"/>
      </w:r>
    </w:p>
    <w:p w14:paraId="4B92562E">
      <w:pPr>
        <w:pStyle w:val="14"/>
        <w:tabs>
          <w:tab w:val="right" w:leader="dot" w:pos="8306"/>
        </w:tabs>
      </w:pPr>
      <w:r>
        <w:fldChar w:fldCharType="begin"/>
      </w:r>
      <w:r>
        <w:instrText xml:space="preserve"> HYPERLINK \l _Toc2978 </w:instrText>
      </w:r>
      <w:r>
        <w:fldChar w:fldCharType="separate"/>
      </w:r>
      <w:r>
        <w:rPr>
          <w:rFonts w:eastAsia="黑体"/>
        </w:rPr>
        <w:t>（一）任务目标</w:t>
      </w:r>
      <w:r>
        <w:tab/>
      </w:r>
      <w:r>
        <w:fldChar w:fldCharType="begin"/>
      </w:r>
      <w:r>
        <w:instrText xml:space="preserve"> PAGEREF _Toc2978 \h </w:instrText>
      </w:r>
      <w:r>
        <w:fldChar w:fldCharType="separate"/>
      </w:r>
      <w:r>
        <w:t>7</w:t>
      </w:r>
      <w:r>
        <w:fldChar w:fldCharType="end"/>
      </w:r>
      <w:r>
        <w:fldChar w:fldCharType="end"/>
      </w:r>
    </w:p>
    <w:p w14:paraId="48A6A1F2">
      <w:pPr>
        <w:pStyle w:val="14"/>
        <w:tabs>
          <w:tab w:val="right" w:leader="dot" w:pos="8306"/>
        </w:tabs>
      </w:pPr>
      <w:r>
        <w:fldChar w:fldCharType="begin"/>
      </w:r>
      <w:r>
        <w:instrText xml:space="preserve"> HYPERLINK \l _Toc9330 </w:instrText>
      </w:r>
      <w:r>
        <w:fldChar w:fldCharType="separate"/>
      </w:r>
      <w:r>
        <w:rPr>
          <w:rFonts w:eastAsia="黑体"/>
        </w:rPr>
        <w:t>（二）数据集全面重构</w:t>
      </w:r>
      <w:r>
        <w:tab/>
      </w:r>
      <w:r>
        <w:fldChar w:fldCharType="begin"/>
      </w:r>
      <w:r>
        <w:instrText xml:space="preserve"> PAGEREF _Toc9330 \h </w:instrText>
      </w:r>
      <w:r>
        <w:fldChar w:fldCharType="separate"/>
      </w:r>
      <w:r>
        <w:t>8</w:t>
      </w:r>
      <w:r>
        <w:fldChar w:fldCharType="end"/>
      </w:r>
      <w:r>
        <w:fldChar w:fldCharType="end"/>
      </w:r>
    </w:p>
    <w:p w14:paraId="25A22E8F">
      <w:pPr>
        <w:pStyle w:val="14"/>
        <w:tabs>
          <w:tab w:val="right" w:leader="dot" w:pos="8306"/>
        </w:tabs>
      </w:pPr>
      <w:r>
        <w:fldChar w:fldCharType="begin"/>
      </w:r>
      <w:r>
        <w:instrText xml:space="preserve"> HYPERLINK \l _Toc27908 </w:instrText>
      </w:r>
      <w:r>
        <w:fldChar w:fldCharType="separate"/>
      </w:r>
      <w:r>
        <w:rPr>
          <w:rFonts w:eastAsia="黑体"/>
        </w:rPr>
        <w:t>（三）训练新一版本模型</w:t>
      </w:r>
      <w:r>
        <w:tab/>
      </w:r>
      <w:r>
        <w:fldChar w:fldCharType="begin"/>
      </w:r>
      <w:r>
        <w:instrText xml:space="preserve"> PAGEREF _Toc27908 \h </w:instrText>
      </w:r>
      <w:r>
        <w:fldChar w:fldCharType="separate"/>
      </w:r>
      <w:r>
        <w:t>11</w:t>
      </w:r>
      <w:r>
        <w:fldChar w:fldCharType="end"/>
      </w:r>
      <w:r>
        <w:fldChar w:fldCharType="end"/>
      </w:r>
    </w:p>
    <w:p w14:paraId="0A70EB12">
      <w:pPr>
        <w:pStyle w:val="14"/>
        <w:tabs>
          <w:tab w:val="right" w:leader="dot" w:pos="8306"/>
        </w:tabs>
      </w:pPr>
      <w:r>
        <w:fldChar w:fldCharType="begin"/>
      </w:r>
      <w:r>
        <w:instrText xml:space="preserve"> HYPERLINK \l _Toc32508 </w:instrText>
      </w:r>
      <w:r>
        <w:fldChar w:fldCharType="separate"/>
      </w:r>
      <w:r>
        <w:rPr>
          <w:rFonts w:eastAsia="黑体"/>
        </w:rPr>
        <w:t>（四）阶段一进度安排</w:t>
      </w:r>
      <w:r>
        <w:tab/>
      </w:r>
      <w:r>
        <w:fldChar w:fldCharType="begin"/>
      </w:r>
      <w:r>
        <w:instrText xml:space="preserve"> PAGEREF _Toc32508 \h </w:instrText>
      </w:r>
      <w:r>
        <w:fldChar w:fldCharType="separate"/>
      </w:r>
      <w:r>
        <w:t>12</w:t>
      </w:r>
      <w:r>
        <w:fldChar w:fldCharType="end"/>
      </w:r>
      <w:r>
        <w:fldChar w:fldCharType="end"/>
      </w:r>
    </w:p>
    <w:p w14:paraId="2F3C0028">
      <w:pPr>
        <w:pStyle w:val="13"/>
        <w:tabs>
          <w:tab w:val="right" w:leader="dot" w:pos="8306"/>
        </w:tabs>
      </w:pPr>
      <w:r>
        <w:fldChar w:fldCharType="begin"/>
      </w:r>
      <w:r>
        <w:instrText xml:space="preserve"> HYPERLINK \l _Toc22528 </w:instrText>
      </w:r>
      <w:r>
        <w:fldChar w:fldCharType="separate"/>
      </w:r>
      <w:r>
        <w:rPr>
          <w:rFonts w:eastAsia="黑体"/>
        </w:rPr>
        <w:t>第三部分　9 月底前任务目标及主要完成的工作</w:t>
      </w:r>
      <w:r>
        <w:tab/>
      </w:r>
      <w:r>
        <w:fldChar w:fldCharType="begin"/>
      </w:r>
      <w:r>
        <w:instrText xml:space="preserve"> PAGEREF _Toc22528 \h </w:instrText>
      </w:r>
      <w:r>
        <w:fldChar w:fldCharType="separate"/>
      </w:r>
      <w:r>
        <w:t>13</w:t>
      </w:r>
      <w:r>
        <w:fldChar w:fldCharType="end"/>
      </w:r>
      <w:r>
        <w:fldChar w:fldCharType="end"/>
      </w:r>
    </w:p>
    <w:p w14:paraId="61236B04">
      <w:pPr>
        <w:pStyle w:val="14"/>
        <w:tabs>
          <w:tab w:val="right" w:leader="dot" w:pos="8306"/>
        </w:tabs>
      </w:pPr>
      <w:r>
        <w:fldChar w:fldCharType="begin"/>
      </w:r>
      <w:r>
        <w:instrText xml:space="preserve"> HYPERLINK \l _Toc27230 </w:instrText>
      </w:r>
      <w:r>
        <w:fldChar w:fldCharType="separate"/>
      </w:r>
      <w:r>
        <w:rPr>
          <w:rFonts w:eastAsia="黑体"/>
        </w:rPr>
        <w:t>（一）任务目标</w:t>
      </w:r>
      <w:r>
        <w:tab/>
      </w:r>
      <w:r>
        <w:fldChar w:fldCharType="begin"/>
      </w:r>
      <w:r>
        <w:instrText xml:space="preserve"> PAGEREF _Toc27230 \h </w:instrText>
      </w:r>
      <w:r>
        <w:fldChar w:fldCharType="separate"/>
      </w:r>
      <w:r>
        <w:t>13</w:t>
      </w:r>
      <w:r>
        <w:fldChar w:fldCharType="end"/>
      </w:r>
      <w:r>
        <w:fldChar w:fldCharType="end"/>
      </w:r>
    </w:p>
    <w:p w14:paraId="347645A1">
      <w:pPr>
        <w:pStyle w:val="14"/>
        <w:tabs>
          <w:tab w:val="right" w:leader="dot" w:pos="8306"/>
        </w:tabs>
      </w:pPr>
      <w:r>
        <w:fldChar w:fldCharType="begin"/>
      </w:r>
      <w:r>
        <w:instrText xml:space="preserve"> HYPERLINK \l _Toc15478 </w:instrText>
      </w:r>
      <w:r>
        <w:fldChar w:fldCharType="separate"/>
      </w:r>
      <w:r>
        <w:rPr>
          <w:rFonts w:eastAsia="黑体"/>
        </w:rPr>
        <w:t>（二）持续迭代训练</w:t>
      </w:r>
      <w:r>
        <w:tab/>
      </w:r>
      <w:r>
        <w:fldChar w:fldCharType="begin"/>
      </w:r>
      <w:r>
        <w:instrText xml:space="preserve"> PAGEREF _Toc15478 \h </w:instrText>
      </w:r>
      <w:r>
        <w:fldChar w:fldCharType="separate"/>
      </w:r>
      <w:r>
        <w:t>13</w:t>
      </w:r>
      <w:r>
        <w:fldChar w:fldCharType="end"/>
      </w:r>
      <w:r>
        <w:fldChar w:fldCharType="end"/>
      </w:r>
    </w:p>
    <w:p w14:paraId="1EAE8599">
      <w:pPr>
        <w:pStyle w:val="14"/>
        <w:tabs>
          <w:tab w:val="right" w:leader="dot" w:pos="8306"/>
        </w:tabs>
      </w:pPr>
      <w:r>
        <w:fldChar w:fldCharType="begin"/>
      </w:r>
      <w:r>
        <w:instrText xml:space="preserve"> HYPERLINK \l _Toc17989 </w:instrText>
      </w:r>
      <w:r>
        <w:fldChar w:fldCharType="separate"/>
      </w:r>
      <w:r>
        <w:rPr>
          <w:rFonts w:eastAsia="黑体"/>
        </w:rPr>
        <w:t>（三）实际运营环境训练迁移</w:t>
      </w:r>
      <w:r>
        <w:tab/>
      </w:r>
      <w:r>
        <w:fldChar w:fldCharType="begin"/>
      </w:r>
      <w:r>
        <w:instrText xml:space="preserve"> PAGEREF _Toc17989 \h </w:instrText>
      </w:r>
      <w:r>
        <w:fldChar w:fldCharType="separate"/>
      </w:r>
      <w:r>
        <w:t>14</w:t>
      </w:r>
      <w:r>
        <w:fldChar w:fldCharType="end"/>
      </w:r>
      <w:r>
        <w:fldChar w:fldCharType="end"/>
      </w:r>
    </w:p>
    <w:p w14:paraId="31D7815D">
      <w:pPr>
        <w:pStyle w:val="14"/>
        <w:tabs>
          <w:tab w:val="right" w:leader="dot" w:pos="8306"/>
        </w:tabs>
      </w:pPr>
      <w:r>
        <w:fldChar w:fldCharType="begin"/>
      </w:r>
      <w:r>
        <w:instrText xml:space="preserve"> HYPERLINK \l _Toc5508 </w:instrText>
      </w:r>
      <w:r>
        <w:fldChar w:fldCharType="separate"/>
      </w:r>
      <w:r>
        <w:rPr>
          <w:rFonts w:eastAsia="黑体"/>
        </w:rPr>
        <w:t>（四）车载部署适配</w:t>
      </w:r>
      <w:r>
        <w:tab/>
      </w:r>
      <w:r>
        <w:fldChar w:fldCharType="begin"/>
      </w:r>
      <w:r>
        <w:instrText xml:space="preserve"> PAGEREF _Toc5508 \h </w:instrText>
      </w:r>
      <w:r>
        <w:fldChar w:fldCharType="separate"/>
      </w:r>
      <w:r>
        <w:t>14</w:t>
      </w:r>
      <w:r>
        <w:fldChar w:fldCharType="end"/>
      </w:r>
      <w:r>
        <w:fldChar w:fldCharType="end"/>
      </w:r>
    </w:p>
    <w:p w14:paraId="178DC7EF">
      <w:pPr>
        <w:pStyle w:val="14"/>
        <w:tabs>
          <w:tab w:val="right" w:leader="dot" w:pos="8306"/>
        </w:tabs>
      </w:pPr>
      <w:r>
        <w:fldChar w:fldCharType="begin"/>
      </w:r>
      <w:r>
        <w:instrText xml:space="preserve"> HYPERLINK \l _Toc23282 </w:instrText>
      </w:r>
      <w:r>
        <w:fldChar w:fldCharType="separate"/>
      </w:r>
      <w:r>
        <w:rPr>
          <w:rFonts w:eastAsia="黑体"/>
        </w:rPr>
        <w:t>（五）阶段二、三进度安排</w:t>
      </w:r>
      <w:r>
        <w:tab/>
      </w:r>
      <w:r>
        <w:fldChar w:fldCharType="begin"/>
      </w:r>
      <w:r>
        <w:instrText xml:space="preserve"> PAGEREF _Toc23282 \h </w:instrText>
      </w:r>
      <w:r>
        <w:fldChar w:fldCharType="separate"/>
      </w:r>
      <w:r>
        <w:t>14</w:t>
      </w:r>
      <w:r>
        <w:fldChar w:fldCharType="end"/>
      </w:r>
      <w:r>
        <w:fldChar w:fldCharType="end"/>
      </w:r>
    </w:p>
    <w:p w14:paraId="1FF643AB">
      <w:pPr>
        <w:pStyle w:val="14"/>
        <w:tabs>
          <w:tab w:val="right" w:leader="dot" w:pos="8306"/>
        </w:tabs>
      </w:pPr>
      <w:r>
        <w:fldChar w:fldCharType="begin"/>
      </w:r>
      <w:r>
        <w:instrText xml:space="preserve"> HYPERLINK \l _Toc17816 </w:instrText>
      </w:r>
      <w:r>
        <w:fldChar w:fldCharType="separate"/>
      </w:r>
      <w:r>
        <w:rPr>
          <w:rFonts w:eastAsia="黑体"/>
        </w:rPr>
        <w:t>（六）风险应对措施</w:t>
      </w:r>
      <w:r>
        <w:tab/>
      </w:r>
      <w:r>
        <w:fldChar w:fldCharType="begin"/>
      </w:r>
      <w:r>
        <w:instrText xml:space="preserve"> PAGEREF _Toc17816 \h </w:instrText>
      </w:r>
      <w:r>
        <w:fldChar w:fldCharType="separate"/>
      </w:r>
      <w:r>
        <w:t>15</w:t>
      </w:r>
      <w:r>
        <w:fldChar w:fldCharType="end"/>
      </w:r>
      <w:r>
        <w:fldChar w:fldCharType="end"/>
      </w:r>
    </w:p>
    <w:p w14:paraId="1DEE97E1">
      <w:pPr>
        <w:pStyle w:val="14"/>
        <w:tabs>
          <w:tab w:val="right" w:leader="dot" w:pos="8306"/>
        </w:tabs>
      </w:pPr>
      <w:r>
        <w:fldChar w:fldCharType="begin"/>
      </w:r>
      <w:r>
        <w:instrText xml:space="preserve"> HYPERLINK \l _Toc6019 </w:instrText>
      </w:r>
      <w:r>
        <w:fldChar w:fldCharType="separate"/>
      </w:r>
      <w:r>
        <w:rPr>
          <w:rFonts w:eastAsia="黑体"/>
        </w:rPr>
        <w:t>（七）预期交付物</w:t>
      </w:r>
      <w:r>
        <w:tab/>
      </w:r>
      <w:r>
        <w:fldChar w:fldCharType="begin"/>
      </w:r>
      <w:r>
        <w:instrText xml:space="preserve"> PAGEREF _Toc6019 \h </w:instrText>
      </w:r>
      <w:r>
        <w:fldChar w:fldCharType="separate"/>
      </w:r>
      <w:r>
        <w:t>15</w:t>
      </w:r>
      <w:r>
        <w:fldChar w:fldCharType="end"/>
      </w:r>
      <w:r>
        <w:fldChar w:fldCharType="end"/>
      </w:r>
    </w:p>
    <w:p w14:paraId="781A125A">
      <w:r>
        <w:fldChar w:fldCharType="end"/>
      </w:r>
    </w:p>
    <w:p w14:paraId="4BD54F44">
      <w:r>
        <w:br w:type="page"/>
      </w:r>
    </w:p>
    <w:p w14:paraId="40856D63">
      <w:pPr>
        <w:pStyle w:val="2"/>
        <w:spacing w:before="280" w:after="160" w:line="312" w:lineRule="auto"/>
      </w:pPr>
      <w:bookmarkStart w:id="1" w:name="_Toc17598"/>
      <w:r>
        <w:rPr>
          <w:rFonts w:eastAsia="黑体"/>
        </w:rPr>
        <w:t>第一部分　当前模型性能分析与不足</w:t>
      </w:r>
      <w:bookmarkEnd w:id="1"/>
    </w:p>
    <w:p w14:paraId="2AA4090A">
      <w:pPr>
        <w:pStyle w:val="3"/>
        <w:spacing w:before="200" w:after="120" w:line="312" w:lineRule="auto"/>
      </w:pPr>
      <w:bookmarkStart w:id="2" w:name="_Toc18547"/>
      <w:r>
        <w:rPr>
          <w:rFonts w:eastAsia="黑体"/>
        </w:rPr>
        <w:t>（一）项目背景与验收要求</w:t>
      </w:r>
      <w:bookmarkEnd w:id="2"/>
    </w:p>
    <w:p w14:paraId="1E80768E">
      <w:pPr>
        <w:spacing w:after="0" w:line="360" w:lineRule="auto"/>
        <w:ind w:firstLine="480" w:firstLineChars="200"/>
      </w:pPr>
      <w:r>
        <w:t>本项目依托福州地铁现有接触网检测车硬件平台，构建集高分辨率成像、多传感器融合与 AI 智能识别于一体的接触网智能化检测系统，采用“车载现场作业＋地面集中管理”双端协同架构：车载端完成轻量化实时分析与缺陷初判，地面端完成批量深度分析、人工复核与闭环管理。</w:t>
      </w:r>
    </w:p>
    <w:p w14:paraId="45594CF9">
      <w:pPr>
        <w:spacing w:after="0" w:line="360" w:lineRule="auto"/>
        <w:ind w:firstLine="480" w:firstLineChars="200"/>
      </w:pPr>
      <w:r>
        <w:t>合同对 AI 识别能力的核心要求为：</w:t>
      </w:r>
      <w:r>
        <w:rPr>
          <w:b/>
        </w:rPr>
        <w:t>常见接触网缺陷的智能识别准确率不低于 90%</w:t>
      </w:r>
      <w:r>
        <w:t>。按项目总体安排，车载端搭载联调于 2026 年 8 月 15 日启动，2026 年 9 月底前须完成系统集成、部署测试与联调，2026 年 12 月底前完成项目结题验收。当前模型的全类别平均识别准确率尚未完全达到验收水平，但部分类别已达到甚至超过 90% 的准确率，需在本阶段完成针对性改进，工作重点在于补齐样本不足类别的短板。</w:t>
      </w:r>
    </w:p>
    <w:p w14:paraId="28083BF1">
      <w:pPr>
        <w:pStyle w:val="3"/>
        <w:spacing w:before="200" w:after="120" w:line="312" w:lineRule="auto"/>
      </w:pPr>
      <w:bookmarkStart w:id="3" w:name="_Toc12606"/>
      <w:r>
        <w:rPr>
          <w:rFonts w:eastAsia="黑体"/>
        </w:rPr>
        <w:t>（二）模型性能分析</w:t>
      </w:r>
      <w:bookmarkEnd w:id="3"/>
    </w:p>
    <w:p w14:paraId="72DEA8E0">
      <w:pPr>
        <w:spacing w:after="0" w:line="360" w:lineRule="auto"/>
        <w:ind w:firstLine="480" w:firstLineChars="200"/>
      </w:pPr>
      <w:r>
        <w:t>项目模型先后经历 7.14、7.25、7.30 三个主要版本迭代，全类别平均识别准确率持续提升：7.14 版本为 24.1%，7.25 版本提升至 47.8%（相对提升约 98%）；7.30 版本将缺陷覆盖由 7 类扩展至 12 类，全类别平均识别准确率为 43.6%，较 7.25 版本略有回落，系新纳入的地线线夹类、吊弦不受力等零样本或极少样本类别稀释了平均水平。</w:t>
      </w:r>
    </w:p>
    <w:p w14:paraId="7089C21F">
      <w:pPr>
        <w:spacing w:after="0" w:line="360" w:lineRule="auto"/>
        <w:ind w:firstLine="480" w:firstLineChars="200"/>
      </w:pPr>
      <w:r>
        <w:t>需要强调：</w:t>
      </w:r>
      <w:r>
        <w:rPr>
          <w:b/>
        </w:rPr>
        <w:t>上述准确率数值为全部类别的平均值</w:t>
      </w:r>
      <w:r>
        <w:t>，类别之间存在明显分化——样本相对充足、形态特征明确的类别已达到较高的识别准确率，其中多个类别已达到甚至超过合同 90% 的验收标准，典型示例见表 1-1。</w:t>
      </w:r>
    </w:p>
    <w:p w14:paraId="6384F583">
      <w:pPr>
        <w:pStyle w:val="11"/>
        <w:spacing w:before="80" w:after="80"/>
      </w:pPr>
      <w:r>
        <w:t>表 1-1　识别准确率较高的类别示例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9"/>
        <w:gridCol w:w="2769"/>
        <w:gridCol w:w="2769"/>
      </w:tblGrid>
      <w:tr w14:paraId="0F3B3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9E2F3"/>
            <w:vAlign w:val="center"/>
          </w:tcPr>
          <w:p w14:paraId="1C1FEBDA">
            <w:pPr>
              <w:pStyle w:val="25"/>
              <w:spacing w:before="20" w:after="20"/>
              <w:jc w:val="center"/>
            </w:pPr>
            <w:r>
              <w:rPr>
                <w:b/>
                <w:sz w:val="21"/>
              </w:rPr>
              <w:t>类别</w:t>
            </w:r>
          </w:p>
        </w:tc>
        <w:tc>
          <w:tcPr>
            <w:tcW w:w="1474" w:type="dxa"/>
            <w:shd w:val="clear" w:color="auto" w:fill="D9E2F3"/>
            <w:vAlign w:val="center"/>
          </w:tcPr>
          <w:p w14:paraId="6FB09808">
            <w:pPr>
              <w:pStyle w:val="25"/>
              <w:spacing w:before="20" w:after="20"/>
              <w:jc w:val="center"/>
            </w:pPr>
            <w:r>
              <w:rPr>
                <w:b/>
                <w:sz w:val="21"/>
              </w:rPr>
              <w:t>识别准确率</w:t>
            </w:r>
          </w:p>
        </w:tc>
        <w:tc>
          <w:tcPr>
            <w:tcW w:w="3855" w:type="dxa"/>
            <w:shd w:val="clear" w:color="auto" w:fill="D9E2F3"/>
            <w:vAlign w:val="center"/>
          </w:tcPr>
          <w:p w14:paraId="52D471B3">
            <w:pPr>
              <w:pStyle w:val="25"/>
              <w:spacing w:before="20" w:after="20"/>
              <w:jc w:val="center"/>
            </w:pPr>
            <w:r>
              <w:rPr>
                <w:b/>
                <w:sz w:val="21"/>
              </w:rPr>
              <w:t>说明</w:t>
            </w:r>
          </w:p>
        </w:tc>
      </w:tr>
      <w:tr w14:paraId="31B1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vAlign w:val="center"/>
          </w:tcPr>
          <w:p w14:paraId="02C8FA3C">
            <w:pPr>
              <w:pStyle w:val="25"/>
              <w:spacing w:before="20" w:after="20"/>
              <w:jc w:val="left"/>
            </w:pPr>
            <w:r>
              <w:rPr>
                <w:sz w:val="21"/>
              </w:rPr>
              <w:t>单支垂直悬吊槽钢上方螺母松动（SVHTNL）</w:t>
            </w:r>
          </w:p>
        </w:tc>
        <w:tc>
          <w:tcPr>
            <w:tcW w:w="1474" w:type="dxa"/>
            <w:vAlign w:val="center"/>
          </w:tcPr>
          <w:p w14:paraId="185D5FA3">
            <w:pPr>
              <w:pStyle w:val="25"/>
              <w:spacing w:before="20" w:after="20"/>
              <w:jc w:val="center"/>
            </w:pPr>
            <w:r>
              <w:rPr>
                <w:sz w:val="21"/>
              </w:rPr>
              <w:t>92.9%</w:t>
            </w:r>
          </w:p>
        </w:tc>
        <w:tc>
          <w:tcPr>
            <w:tcW w:w="3855" w:type="dxa"/>
            <w:vAlign w:val="center"/>
          </w:tcPr>
          <w:p w14:paraId="0CB220C7">
            <w:pPr>
              <w:pStyle w:val="25"/>
              <w:spacing w:before="20" w:after="20"/>
              <w:jc w:val="center"/>
            </w:pPr>
            <w:r>
              <w:rPr>
                <w:sz w:val="21"/>
              </w:rPr>
              <w:t>高置信度工作点</w:t>
            </w:r>
          </w:p>
        </w:tc>
      </w:tr>
      <w:tr w14:paraId="01A5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vAlign w:val="center"/>
          </w:tcPr>
          <w:p w14:paraId="66ED4BEF">
            <w:pPr>
              <w:pStyle w:val="25"/>
              <w:spacing w:before="20" w:after="20"/>
              <w:jc w:val="left"/>
            </w:pPr>
            <w:r>
              <w:rPr>
                <w:sz w:val="21"/>
              </w:rPr>
              <w:t>单支垂直悬吊槽钢底座螺母松动（SVHBNL）</w:t>
            </w:r>
          </w:p>
        </w:tc>
        <w:tc>
          <w:tcPr>
            <w:tcW w:w="1474" w:type="dxa"/>
            <w:vAlign w:val="center"/>
          </w:tcPr>
          <w:p w14:paraId="792CBBA1">
            <w:pPr>
              <w:pStyle w:val="25"/>
              <w:spacing w:before="20" w:after="20"/>
              <w:jc w:val="center"/>
            </w:pPr>
            <w:r>
              <w:rPr>
                <w:sz w:val="21"/>
              </w:rPr>
              <w:t>91.7%</w:t>
            </w:r>
          </w:p>
        </w:tc>
        <w:tc>
          <w:tcPr>
            <w:tcW w:w="3855" w:type="dxa"/>
            <w:vAlign w:val="center"/>
          </w:tcPr>
          <w:p w14:paraId="5715E839">
            <w:pPr>
              <w:pStyle w:val="25"/>
              <w:spacing w:before="20" w:after="20"/>
              <w:jc w:val="center"/>
            </w:pPr>
            <w:r>
              <w:rPr>
                <w:sz w:val="21"/>
              </w:rPr>
              <w:t>高置信度工作点</w:t>
            </w:r>
          </w:p>
        </w:tc>
      </w:tr>
      <w:tr w14:paraId="2AA26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vAlign w:val="center"/>
          </w:tcPr>
          <w:p w14:paraId="59BABE51">
            <w:pPr>
              <w:pStyle w:val="25"/>
              <w:spacing w:before="20" w:after="20"/>
              <w:jc w:val="left"/>
            </w:pPr>
            <w:r>
              <w:rPr>
                <w:sz w:val="21"/>
              </w:rPr>
              <w:t>腕臂底座垂直销钉缺开口销（CBVPM）</w:t>
            </w:r>
          </w:p>
        </w:tc>
        <w:tc>
          <w:tcPr>
            <w:tcW w:w="1474" w:type="dxa"/>
            <w:vAlign w:val="center"/>
          </w:tcPr>
          <w:p w14:paraId="5B13C508">
            <w:pPr>
              <w:pStyle w:val="25"/>
              <w:spacing w:before="20" w:after="20"/>
              <w:jc w:val="center"/>
            </w:pPr>
            <w:r>
              <w:rPr>
                <w:sz w:val="21"/>
              </w:rPr>
              <w:t>90.4%</w:t>
            </w:r>
          </w:p>
        </w:tc>
        <w:tc>
          <w:tcPr>
            <w:tcW w:w="3855" w:type="dxa"/>
            <w:vAlign w:val="center"/>
          </w:tcPr>
          <w:p w14:paraId="3025FD7F">
            <w:pPr>
              <w:pStyle w:val="25"/>
              <w:spacing w:before="20" w:after="20"/>
              <w:jc w:val="center"/>
            </w:pPr>
            <w:r>
              <w:rPr>
                <w:sz w:val="21"/>
              </w:rPr>
              <w:t>高置信度工作点</w:t>
            </w:r>
          </w:p>
        </w:tc>
      </w:tr>
      <w:tr w14:paraId="419F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vAlign w:val="center"/>
          </w:tcPr>
          <w:p w14:paraId="371D8B46">
            <w:pPr>
              <w:pStyle w:val="25"/>
              <w:spacing w:before="20" w:after="20"/>
              <w:jc w:val="left"/>
            </w:pPr>
            <w:r>
              <w:rPr>
                <w:sz w:val="21"/>
              </w:rPr>
              <w:t>腕臂底座横向销钉缺开口销（CBHPM）</w:t>
            </w:r>
          </w:p>
        </w:tc>
        <w:tc>
          <w:tcPr>
            <w:tcW w:w="1474" w:type="dxa"/>
            <w:vAlign w:val="center"/>
          </w:tcPr>
          <w:p w14:paraId="57E8001D">
            <w:pPr>
              <w:pStyle w:val="25"/>
              <w:spacing w:before="20" w:after="20"/>
              <w:jc w:val="center"/>
            </w:pPr>
            <w:r>
              <w:rPr>
                <w:sz w:val="21"/>
              </w:rPr>
              <w:t>81.5%</w:t>
            </w:r>
          </w:p>
        </w:tc>
        <w:tc>
          <w:tcPr>
            <w:tcW w:w="3855" w:type="dxa"/>
            <w:vAlign w:val="center"/>
          </w:tcPr>
          <w:p w14:paraId="652192FE">
            <w:pPr>
              <w:pStyle w:val="25"/>
              <w:spacing w:before="20" w:after="20"/>
              <w:jc w:val="left"/>
            </w:pPr>
            <w:r>
              <w:rPr>
                <w:sz w:val="21"/>
              </w:rPr>
              <w:t>准确率与召回率均在 80% 以上，综合表现最均衡</w:t>
            </w:r>
          </w:p>
        </w:tc>
      </w:tr>
    </w:tbl>
    <w:p w14:paraId="053F0E72">
      <w:pPr>
        <w:spacing w:after="40" w:line="240" w:lineRule="auto"/>
      </w:pPr>
    </w:p>
    <w:p w14:paraId="225A0A52">
      <w:pPr>
        <w:spacing w:after="0" w:line="360" w:lineRule="auto"/>
        <w:ind w:firstLine="480" w:firstLineChars="200"/>
      </w:pPr>
      <w:r>
        <w:t>对上述结果的分析如下：</w:t>
      </w:r>
    </w:p>
    <w:p w14:paraId="371622AB">
      <w:pPr>
        <w:spacing w:after="0" w:line="360" w:lineRule="auto"/>
        <w:ind w:firstLine="480" w:firstLineChars="200"/>
      </w:pPr>
      <w:r>
        <w:t>（1）</w:t>
      </w:r>
      <w:r>
        <w:rPr>
          <w:b/>
        </w:rPr>
        <w:t>模型对样本充足的缺陷已形成稳定识别能力</w:t>
      </w:r>
      <w:r>
        <w:t>。上表类别的样本量相对充足、缺陷形态特征明确，其识别准确率已达到或超过验收标准，说明模型架构与多阶段训练流水线已经过验证，技术路线可行；</w:t>
      </w:r>
    </w:p>
    <w:p w14:paraId="7ADD785D">
      <w:pPr>
        <w:spacing w:after="0" w:line="360" w:lineRule="auto"/>
        <w:ind w:firstLine="480" w:firstLineChars="200"/>
      </w:pPr>
      <w:r>
        <w:t>（2）</w:t>
      </w:r>
      <w:r>
        <w:rPr>
          <w:b/>
        </w:rPr>
        <w:t>平均准确率偏低的原因集中在样本不足的类别</w:t>
      </w:r>
      <w:r>
        <w:t>。尾部类别与 4 类零样本的地线线夹缺陷训练不充分，拉低了全类别平均值。性能分化的本质是</w:t>
      </w:r>
      <w:r>
        <w:rPr>
          <w:b/>
        </w:rPr>
        <w:t>数据</w:t>
      </w:r>
      <w:bookmarkStart w:id="20" w:name="_GoBack"/>
      <w:bookmarkEnd w:id="20"/>
      <w:r>
        <w:rPr>
          <w:b/>
        </w:rPr>
        <w:t>问题</w:t>
      </w:r>
      <w:r>
        <w:t>，而非模型能力问题；</w:t>
      </w:r>
    </w:p>
    <w:p w14:paraId="4E5E02FA">
      <w:pPr>
        <w:spacing w:after="0" w:line="360" w:lineRule="auto"/>
        <w:ind w:firstLine="480" w:firstLineChars="200"/>
      </w:pPr>
      <w:r>
        <w:t>（3）</w:t>
      </w:r>
      <w:r>
        <w:rPr>
          <w:b/>
        </w:rPr>
        <w:t>验收目标具备可达成的基础</w:t>
      </w:r>
      <w:r>
        <w:t>。数据集重构与类别均衡完成后，各类别样本量将达到当前高准确率类别的水平，配合迭代训练与阈值标定，大多数类别的识别准确率有望提升至当前高准确率类别的水平，达到 90% 的验收标准。</w:t>
      </w:r>
    </w:p>
    <w:p w14:paraId="1D289091">
      <w:pPr>
        <w:pStyle w:val="3"/>
        <w:spacing w:before="200" w:after="120" w:line="312" w:lineRule="auto"/>
      </w:pPr>
      <w:bookmarkStart w:id="4" w:name="_Toc1806"/>
      <w:r>
        <w:rPr>
          <w:rFonts w:eastAsia="黑体"/>
        </w:rPr>
        <w:t>（三）缺陷类型覆盖不全面</w:t>
      </w:r>
      <w:bookmarkEnd w:id="4"/>
    </w:p>
    <w:p w14:paraId="45038314">
      <w:pPr>
        <w:spacing w:after="0" w:line="360" w:lineRule="auto"/>
        <w:ind w:firstLine="480" w:firstLineChars="200"/>
      </w:pPr>
      <w:r>
        <w:t xml:space="preserve">合同附件约定系统应识别 </w:t>
      </w:r>
      <w:r>
        <w:rPr>
          <w:b/>
        </w:rPr>
        <w:t>16 类</w:t>
      </w:r>
      <w:r>
        <w:t xml:space="preserve">接触网缺陷（刚性接触网 13 类、柔性接触网 3 类）。此前模型仅按 </w:t>
      </w:r>
      <w:r>
        <w:rPr>
          <w:b/>
        </w:rPr>
        <w:t>7 类</w:t>
      </w:r>
      <w:r>
        <w:t>缺陷组织训练，只覆盖合同要求的 43.8%；最新的 7.30 版本扩展至 12 类，但地线线夹系列 4 类缺陷仍完全缺失（见表 1-2），且这 4 类目前</w:t>
      </w:r>
      <w:r>
        <w:rPr>
          <w:b/>
        </w:rPr>
        <w:t>没有获取到任何样本图片</w:t>
      </w:r>
      <w:r>
        <w:t>。</w:t>
      </w:r>
    </w:p>
    <w:p w14:paraId="50CC77D3">
      <w:pPr>
        <w:pStyle w:val="11"/>
        <w:spacing w:before="80" w:after="80"/>
      </w:pPr>
      <w:r>
        <w:t>表 1-2　尚未覆盖的合同约定缺陷类别</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1"/>
        <w:gridCol w:w="1661"/>
        <w:gridCol w:w="1661"/>
        <w:gridCol w:w="1661"/>
        <w:gridCol w:w="1661"/>
      </w:tblGrid>
      <w:tr w14:paraId="2466C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shd w:val="clear" w:color="auto" w:fill="D9E2F3"/>
            <w:vAlign w:val="center"/>
          </w:tcPr>
          <w:p w14:paraId="4245DADB">
            <w:pPr>
              <w:pStyle w:val="25"/>
              <w:spacing w:before="20" w:after="20"/>
              <w:jc w:val="center"/>
            </w:pPr>
            <w:r>
              <w:rPr>
                <w:b/>
                <w:sz w:val="21"/>
              </w:rPr>
              <w:t>编码</w:t>
            </w:r>
          </w:p>
        </w:tc>
        <w:tc>
          <w:tcPr>
            <w:tcW w:w="3175" w:type="dxa"/>
            <w:shd w:val="clear" w:color="auto" w:fill="D9E2F3"/>
            <w:vAlign w:val="center"/>
          </w:tcPr>
          <w:p w14:paraId="34B76628">
            <w:pPr>
              <w:pStyle w:val="25"/>
              <w:spacing w:before="20" w:after="20"/>
              <w:jc w:val="center"/>
            </w:pPr>
            <w:r>
              <w:rPr>
                <w:b/>
                <w:sz w:val="21"/>
              </w:rPr>
              <w:t>缺陷名称</w:t>
            </w:r>
          </w:p>
        </w:tc>
        <w:tc>
          <w:tcPr>
            <w:tcW w:w="1474" w:type="dxa"/>
            <w:shd w:val="clear" w:color="auto" w:fill="D9E2F3"/>
            <w:vAlign w:val="center"/>
          </w:tcPr>
          <w:p w14:paraId="16BFDE70">
            <w:pPr>
              <w:pStyle w:val="25"/>
              <w:spacing w:before="20" w:after="20"/>
              <w:jc w:val="center"/>
            </w:pPr>
            <w:r>
              <w:rPr>
                <w:b/>
                <w:sz w:val="21"/>
              </w:rPr>
              <w:t>所属系统</w:t>
            </w:r>
          </w:p>
        </w:tc>
        <w:tc>
          <w:tcPr>
            <w:tcW w:w="1077" w:type="dxa"/>
            <w:shd w:val="clear" w:color="auto" w:fill="D9E2F3"/>
            <w:vAlign w:val="center"/>
          </w:tcPr>
          <w:p w14:paraId="667F2DF4">
            <w:pPr>
              <w:pStyle w:val="25"/>
              <w:spacing w:before="20" w:after="20"/>
              <w:jc w:val="center"/>
            </w:pPr>
            <w:r>
              <w:rPr>
                <w:b/>
                <w:sz w:val="21"/>
              </w:rPr>
              <w:t>当前数据</w:t>
            </w:r>
          </w:p>
        </w:tc>
        <w:tc>
          <w:tcPr>
            <w:tcW w:w="1814" w:type="dxa"/>
            <w:shd w:val="clear" w:color="auto" w:fill="D9E2F3"/>
            <w:vAlign w:val="center"/>
          </w:tcPr>
          <w:p w14:paraId="66A9E19D">
            <w:pPr>
              <w:pStyle w:val="25"/>
              <w:spacing w:before="20" w:after="20"/>
              <w:jc w:val="center"/>
            </w:pPr>
            <w:r>
              <w:rPr>
                <w:b/>
                <w:sz w:val="21"/>
              </w:rPr>
              <w:t>影响</w:t>
            </w:r>
          </w:p>
        </w:tc>
      </w:tr>
      <w:tr w14:paraId="4CA3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vAlign w:val="center"/>
          </w:tcPr>
          <w:p w14:paraId="08F71D9F">
            <w:pPr>
              <w:pStyle w:val="25"/>
              <w:spacing w:before="20" w:after="20"/>
              <w:jc w:val="center"/>
            </w:pPr>
            <w:r>
              <w:rPr>
                <w:sz w:val="21"/>
              </w:rPr>
              <w:t>GWCSBNM</w:t>
            </w:r>
          </w:p>
        </w:tc>
        <w:tc>
          <w:tcPr>
            <w:tcW w:w="3175" w:type="dxa"/>
            <w:vAlign w:val="center"/>
          </w:tcPr>
          <w:p w14:paraId="4AC96580">
            <w:pPr>
              <w:pStyle w:val="25"/>
              <w:spacing w:before="20" w:after="20"/>
              <w:jc w:val="center"/>
            </w:pPr>
            <w:r>
              <w:rPr>
                <w:sz w:val="21"/>
              </w:rPr>
              <w:t>地线线夹托板安装底座螺母缺失</w:t>
            </w:r>
          </w:p>
        </w:tc>
        <w:tc>
          <w:tcPr>
            <w:tcW w:w="1474" w:type="dxa"/>
            <w:vAlign w:val="center"/>
          </w:tcPr>
          <w:p w14:paraId="280FB77C">
            <w:pPr>
              <w:pStyle w:val="25"/>
              <w:spacing w:before="20" w:after="20"/>
              <w:jc w:val="center"/>
            </w:pPr>
            <w:r>
              <w:rPr>
                <w:sz w:val="21"/>
              </w:rPr>
              <w:t>刚性接触网</w:t>
            </w:r>
          </w:p>
        </w:tc>
        <w:tc>
          <w:tcPr>
            <w:tcW w:w="1077" w:type="dxa"/>
            <w:vAlign w:val="center"/>
          </w:tcPr>
          <w:p w14:paraId="539E7537">
            <w:pPr>
              <w:pStyle w:val="25"/>
              <w:spacing w:before="20" w:after="20"/>
              <w:jc w:val="center"/>
            </w:pPr>
            <w:r>
              <w:rPr>
                <w:sz w:val="21"/>
              </w:rPr>
              <w:t>0 张</w:t>
            </w:r>
          </w:p>
        </w:tc>
        <w:tc>
          <w:tcPr>
            <w:tcW w:w="1814" w:type="dxa"/>
            <w:vAlign w:val="center"/>
          </w:tcPr>
          <w:p w14:paraId="61AA051C">
            <w:pPr>
              <w:pStyle w:val="25"/>
              <w:spacing w:before="20" w:after="20"/>
              <w:jc w:val="center"/>
            </w:pPr>
            <w:r>
              <w:rPr>
                <w:sz w:val="21"/>
              </w:rPr>
              <w:t>完全无法识别</w:t>
            </w:r>
          </w:p>
        </w:tc>
      </w:tr>
      <w:tr w14:paraId="4544E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vAlign w:val="center"/>
          </w:tcPr>
          <w:p w14:paraId="1A4601FD">
            <w:pPr>
              <w:pStyle w:val="25"/>
              <w:spacing w:before="20" w:after="20"/>
              <w:jc w:val="center"/>
            </w:pPr>
            <w:r>
              <w:rPr>
                <w:sz w:val="21"/>
              </w:rPr>
              <w:t>GWCSBNL</w:t>
            </w:r>
          </w:p>
        </w:tc>
        <w:tc>
          <w:tcPr>
            <w:tcW w:w="3175" w:type="dxa"/>
            <w:vAlign w:val="center"/>
          </w:tcPr>
          <w:p w14:paraId="01AE787E">
            <w:pPr>
              <w:pStyle w:val="25"/>
              <w:spacing w:before="20" w:after="20"/>
              <w:jc w:val="center"/>
            </w:pPr>
            <w:r>
              <w:rPr>
                <w:sz w:val="21"/>
              </w:rPr>
              <w:t>地线线夹托板安装底座螺母松动</w:t>
            </w:r>
          </w:p>
        </w:tc>
        <w:tc>
          <w:tcPr>
            <w:tcW w:w="1474" w:type="dxa"/>
            <w:vAlign w:val="center"/>
          </w:tcPr>
          <w:p w14:paraId="23963B9B">
            <w:pPr>
              <w:pStyle w:val="25"/>
              <w:spacing w:before="20" w:after="20"/>
              <w:jc w:val="center"/>
            </w:pPr>
            <w:r>
              <w:rPr>
                <w:sz w:val="21"/>
              </w:rPr>
              <w:t>刚性接触网</w:t>
            </w:r>
          </w:p>
        </w:tc>
        <w:tc>
          <w:tcPr>
            <w:tcW w:w="1077" w:type="dxa"/>
            <w:vAlign w:val="center"/>
          </w:tcPr>
          <w:p w14:paraId="10319D7E">
            <w:pPr>
              <w:pStyle w:val="25"/>
              <w:spacing w:before="20" w:after="20"/>
              <w:jc w:val="center"/>
            </w:pPr>
            <w:r>
              <w:rPr>
                <w:sz w:val="21"/>
              </w:rPr>
              <w:t>0 张</w:t>
            </w:r>
          </w:p>
        </w:tc>
        <w:tc>
          <w:tcPr>
            <w:tcW w:w="1814" w:type="dxa"/>
            <w:vAlign w:val="center"/>
          </w:tcPr>
          <w:p w14:paraId="67A3451E">
            <w:pPr>
              <w:pStyle w:val="25"/>
              <w:spacing w:before="20" w:after="20"/>
              <w:jc w:val="center"/>
            </w:pPr>
            <w:r>
              <w:rPr>
                <w:sz w:val="21"/>
              </w:rPr>
              <w:t>完全无法识别</w:t>
            </w:r>
          </w:p>
        </w:tc>
      </w:tr>
      <w:tr w14:paraId="7503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vAlign w:val="center"/>
          </w:tcPr>
          <w:p w14:paraId="0D6635C4">
            <w:pPr>
              <w:pStyle w:val="25"/>
              <w:spacing w:before="20" w:after="20"/>
              <w:jc w:val="center"/>
            </w:pPr>
            <w:r>
              <w:rPr>
                <w:sz w:val="21"/>
              </w:rPr>
              <w:t>GWCNM</w:t>
            </w:r>
          </w:p>
        </w:tc>
        <w:tc>
          <w:tcPr>
            <w:tcW w:w="3175" w:type="dxa"/>
            <w:vAlign w:val="center"/>
          </w:tcPr>
          <w:p w14:paraId="2F68CACB">
            <w:pPr>
              <w:pStyle w:val="25"/>
              <w:spacing w:before="20" w:after="20"/>
              <w:jc w:val="center"/>
            </w:pPr>
            <w:r>
              <w:rPr>
                <w:sz w:val="21"/>
              </w:rPr>
              <w:t>地线线夹螺母缺失</w:t>
            </w:r>
          </w:p>
        </w:tc>
        <w:tc>
          <w:tcPr>
            <w:tcW w:w="1474" w:type="dxa"/>
            <w:vAlign w:val="center"/>
          </w:tcPr>
          <w:p w14:paraId="1222195F">
            <w:pPr>
              <w:pStyle w:val="25"/>
              <w:spacing w:before="20" w:after="20"/>
              <w:jc w:val="center"/>
            </w:pPr>
            <w:r>
              <w:rPr>
                <w:sz w:val="21"/>
              </w:rPr>
              <w:t>刚性接触网</w:t>
            </w:r>
          </w:p>
        </w:tc>
        <w:tc>
          <w:tcPr>
            <w:tcW w:w="1077" w:type="dxa"/>
            <w:vAlign w:val="center"/>
          </w:tcPr>
          <w:p w14:paraId="3C981390">
            <w:pPr>
              <w:pStyle w:val="25"/>
              <w:spacing w:before="20" w:after="20"/>
              <w:jc w:val="center"/>
            </w:pPr>
            <w:r>
              <w:rPr>
                <w:sz w:val="21"/>
              </w:rPr>
              <w:t>0 张</w:t>
            </w:r>
          </w:p>
        </w:tc>
        <w:tc>
          <w:tcPr>
            <w:tcW w:w="1814" w:type="dxa"/>
            <w:vAlign w:val="center"/>
          </w:tcPr>
          <w:p w14:paraId="0A5889D8">
            <w:pPr>
              <w:pStyle w:val="25"/>
              <w:spacing w:before="20" w:after="20"/>
              <w:jc w:val="center"/>
            </w:pPr>
            <w:r>
              <w:rPr>
                <w:sz w:val="21"/>
              </w:rPr>
              <w:t>完全无法识别</w:t>
            </w:r>
          </w:p>
        </w:tc>
      </w:tr>
      <w:tr w14:paraId="7C74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vAlign w:val="center"/>
          </w:tcPr>
          <w:p w14:paraId="53B097C8">
            <w:pPr>
              <w:pStyle w:val="25"/>
              <w:spacing w:before="20" w:after="20"/>
              <w:jc w:val="center"/>
            </w:pPr>
            <w:r>
              <w:rPr>
                <w:sz w:val="21"/>
              </w:rPr>
              <w:t>GWCNL</w:t>
            </w:r>
          </w:p>
        </w:tc>
        <w:tc>
          <w:tcPr>
            <w:tcW w:w="3175" w:type="dxa"/>
            <w:vAlign w:val="center"/>
          </w:tcPr>
          <w:p w14:paraId="25AE5308">
            <w:pPr>
              <w:pStyle w:val="25"/>
              <w:spacing w:before="20" w:after="20"/>
              <w:jc w:val="center"/>
            </w:pPr>
            <w:r>
              <w:rPr>
                <w:sz w:val="21"/>
              </w:rPr>
              <w:t>地线线夹螺母松动</w:t>
            </w:r>
          </w:p>
        </w:tc>
        <w:tc>
          <w:tcPr>
            <w:tcW w:w="1474" w:type="dxa"/>
            <w:vAlign w:val="center"/>
          </w:tcPr>
          <w:p w14:paraId="2047288A">
            <w:pPr>
              <w:pStyle w:val="25"/>
              <w:spacing w:before="20" w:after="20"/>
              <w:jc w:val="center"/>
            </w:pPr>
            <w:r>
              <w:rPr>
                <w:sz w:val="21"/>
              </w:rPr>
              <w:t>刚性接触网</w:t>
            </w:r>
          </w:p>
        </w:tc>
        <w:tc>
          <w:tcPr>
            <w:tcW w:w="1077" w:type="dxa"/>
            <w:vAlign w:val="center"/>
          </w:tcPr>
          <w:p w14:paraId="0D4277C9">
            <w:pPr>
              <w:pStyle w:val="25"/>
              <w:spacing w:before="20" w:after="20"/>
              <w:jc w:val="center"/>
            </w:pPr>
            <w:r>
              <w:rPr>
                <w:sz w:val="21"/>
              </w:rPr>
              <w:t>0 张</w:t>
            </w:r>
          </w:p>
        </w:tc>
        <w:tc>
          <w:tcPr>
            <w:tcW w:w="1814" w:type="dxa"/>
            <w:vAlign w:val="center"/>
          </w:tcPr>
          <w:p w14:paraId="4A9E023E">
            <w:pPr>
              <w:pStyle w:val="25"/>
              <w:spacing w:before="20" w:after="20"/>
              <w:jc w:val="center"/>
            </w:pPr>
            <w:r>
              <w:rPr>
                <w:sz w:val="21"/>
              </w:rPr>
              <w:t>完全无法识别</w:t>
            </w:r>
          </w:p>
        </w:tc>
      </w:tr>
    </w:tbl>
    <w:p w14:paraId="5072F09E">
      <w:pPr>
        <w:spacing w:after="40" w:line="240" w:lineRule="auto"/>
      </w:pPr>
    </w:p>
    <w:p w14:paraId="50A99CA5">
      <w:pPr>
        <w:spacing w:after="0" w:line="360" w:lineRule="auto"/>
        <w:ind w:firstLine="480" w:firstLineChars="200"/>
      </w:pPr>
      <w:r>
        <w:t>此外，已覆盖类别中的吊弦不受力（69 例）、刚性悬挂吊柱顶板底面螺母缺失（67 例）与松动（51 例）三个尾部类别样本严重不足，识别能力弱，同样纳入本次补齐范围。</w:t>
      </w:r>
    </w:p>
    <w:p w14:paraId="76F02675">
      <w:pPr>
        <w:pStyle w:val="3"/>
        <w:spacing w:before="200" w:after="120" w:line="312" w:lineRule="auto"/>
      </w:pPr>
      <w:bookmarkStart w:id="5" w:name="_Toc20792"/>
      <w:r>
        <w:rPr>
          <w:rFonts w:eastAsia="黑体"/>
        </w:rPr>
        <w:t>（四）数据集构建不完善</w:t>
      </w:r>
      <w:bookmarkEnd w:id="5"/>
    </w:p>
    <w:p w14:paraId="3CB24A50">
      <w:pPr>
        <w:spacing w:after="0" w:line="360" w:lineRule="auto"/>
        <w:ind w:firstLine="480" w:firstLineChars="200"/>
      </w:pPr>
      <w:r>
        <w:t>现有缺陷数据集的规模与结构见表 1-3，各类别样本分布见图 1-1。</w:t>
      </w:r>
    </w:p>
    <w:p w14:paraId="7A2D4427">
      <w:pPr>
        <w:pStyle w:val="11"/>
        <w:spacing w:before="80" w:after="80"/>
      </w:pPr>
      <w:r>
        <w:t>表 1-3　现有数据集概况（截至 2026-07-24）</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9"/>
        <w:gridCol w:w="2769"/>
        <w:gridCol w:w="2769"/>
      </w:tblGrid>
      <w:tr w14:paraId="4289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9E2F3"/>
            <w:vAlign w:val="center"/>
          </w:tcPr>
          <w:p w14:paraId="562410DE">
            <w:pPr>
              <w:pStyle w:val="25"/>
              <w:spacing w:before="20" w:after="20"/>
              <w:jc w:val="center"/>
            </w:pPr>
            <w:r>
              <w:rPr>
                <w:b/>
                <w:sz w:val="21"/>
              </w:rPr>
              <w:t>统计项</w:t>
            </w:r>
          </w:p>
        </w:tc>
        <w:tc>
          <w:tcPr>
            <w:tcW w:w="1701" w:type="dxa"/>
            <w:shd w:val="clear" w:color="auto" w:fill="D9E2F3"/>
            <w:vAlign w:val="center"/>
          </w:tcPr>
          <w:p w14:paraId="66DA5741">
            <w:pPr>
              <w:pStyle w:val="25"/>
              <w:spacing w:before="20" w:after="20"/>
              <w:jc w:val="center"/>
            </w:pPr>
            <w:r>
              <w:rPr>
                <w:b/>
                <w:sz w:val="21"/>
              </w:rPr>
              <w:t>数值</w:t>
            </w:r>
          </w:p>
        </w:tc>
        <w:tc>
          <w:tcPr>
            <w:tcW w:w="5102" w:type="dxa"/>
            <w:shd w:val="clear" w:color="auto" w:fill="D9E2F3"/>
            <w:vAlign w:val="center"/>
          </w:tcPr>
          <w:p w14:paraId="05D3BA3A">
            <w:pPr>
              <w:pStyle w:val="25"/>
              <w:spacing w:before="20" w:after="20"/>
              <w:jc w:val="center"/>
            </w:pPr>
            <w:r>
              <w:rPr>
                <w:b/>
                <w:sz w:val="21"/>
              </w:rPr>
              <w:t>说明</w:t>
            </w:r>
          </w:p>
        </w:tc>
      </w:tr>
      <w:tr w14:paraId="4D26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0E85501B">
            <w:pPr>
              <w:pStyle w:val="25"/>
              <w:spacing w:before="20" w:after="20"/>
              <w:jc w:val="center"/>
            </w:pPr>
            <w:r>
              <w:rPr>
                <w:sz w:val="21"/>
              </w:rPr>
              <w:t>图像总数</w:t>
            </w:r>
          </w:p>
        </w:tc>
        <w:tc>
          <w:tcPr>
            <w:tcW w:w="1701" w:type="dxa"/>
            <w:vAlign w:val="center"/>
          </w:tcPr>
          <w:p w14:paraId="49B2BE99">
            <w:pPr>
              <w:pStyle w:val="25"/>
              <w:spacing w:before="20" w:after="20"/>
              <w:jc w:val="center"/>
            </w:pPr>
            <w:r>
              <w:rPr>
                <w:sz w:val="21"/>
              </w:rPr>
              <w:t>1231 张</w:t>
            </w:r>
          </w:p>
        </w:tc>
        <w:tc>
          <w:tcPr>
            <w:tcW w:w="5102" w:type="dxa"/>
            <w:vAlign w:val="center"/>
          </w:tcPr>
          <w:p w14:paraId="45E20615">
            <w:pPr>
              <w:pStyle w:val="25"/>
              <w:spacing w:before="20" w:after="20"/>
              <w:jc w:val="left"/>
            </w:pPr>
            <w:r>
              <w:rPr>
                <w:sz w:val="21"/>
              </w:rPr>
              <w:t>训练集 1116 张 / 验证集 115 张</w:t>
            </w:r>
          </w:p>
        </w:tc>
      </w:tr>
      <w:tr w14:paraId="1E595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4AEC74F9">
            <w:pPr>
              <w:pStyle w:val="25"/>
              <w:spacing w:before="20" w:after="20"/>
              <w:jc w:val="center"/>
            </w:pPr>
            <w:r>
              <w:rPr>
                <w:sz w:val="21"/>
              </w:rPr>
              <w:t>含标注图像</w:t>
            </w:r>
          </w:p>
        </w:tc>
        <w:tc>
          <w:tcPr>
            <w:tcW w:w="1701" w:type="dxa"/>
            <w:vAlign w:val="center"/>
          </w:tcPr>
          <w:p w14:paraId="6E553626">
            <w:pPr>
              <w:pStyle w:val="25"/>
              <w:spacing w:before="20" w:after="20"/>
              <w:jc w:val="center"/>
            </w:pPr>
            <w:r>
              <w:rPr>
                <w:sz w:val="21"/>
              </w:rPr>
              <w:t>770 张</w:t>
            </w:r>
          </w:p>
        </w:tc>
        <w:tc>
          <w:tcPr>
            <w:tcW w:w="5102" w:type="dxa"/>
            <w:vAlign w:val="center"/>
          </w:tcPr>
          <w:p w14:paraId="70CD0086">
            <w:pPr>
              <w:pStyle w:val="25"/>
              <w:spacing w:before="20" w:after="20"/>
              <w:jc w:val="left"/>
            </w:pPr>
            <w:r>
              <w:rPr>
                <w:sz w:val="21"/>
              </w:rPr>
              <w:t>训练集另含 461 张无缺陷背景图</w:t>
            </w:r>
          </w:p>
        </w:tc>
      </w:tr>
      <w:tr w14:paraId="57F3C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7FDAD946">
            <w:pPr>
              <w:pStyle w:val="25"/>
              <w:spacing w:before="20" w:after="20"/>
              <w:jc w:val="center"/>
            </w:pPr>
            <w:r>
              <w:rPr>
                <w:sz w:val="21"/>
              </w:rPr>
              <w:t>缺陷实例总数</w:t>
            </w:r>
          </w:p>
        </w:tc>
        <w:tc>
          <w:tcPr>
            <w:tcW w:w="1701" w:type="dxa"/>
            <w:vAlign w:val="center"/>
          </w:tcPr>
          <w:p w14:paraId="2F17582A">
            <w:pPr>
              <w:pStyle w:val="25"/>
              <w:spacing w:before="20" w:after="20"/>
              <w:jc w:val="center"/>
            </w:pPr>
            <w:r>
              <w:rPr>
                <w:sz w:val="21"/>
              </w:rPr>
              <w:t>2241 个</w:t>
            </w:r>
          </w:p>
        </w:tc>
        <w:tc>
          <w:tcPr>
            <w:tcW w:w="5102" w:type="dxa"/>
            <w:vAlign w:val="center"/>
          </w:tcPr>
          <w:p w14:paraId="6FFC02CB">
            <w:pPr>
              <w:pStyle w:val="25"/>
              <w:spacing w:before="20" w:after="20"/>
              <w:jc w:val="left"/>
            </w:pPr>
            <w:r>
              <w:rPr>
                <w:sz w:val="21"/>
              </w:rPr>
              <w:t>训练集 1903 / 验证集 338</w:t>
            </w:r>
          </w:p>
        </w:tc>
      </w:tr>
      <w:tr w14:paraId="1E4A2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797F7E7A">
            <w:pPr>
              <w:pStyle w:val="25"/>
              <w:spacing w:before="20" w:after="20"/>
              <w:jc w:val="center"/>
            </w:pPr>
            <w:r>
              <w:rPr>
                <w:sz w:val="21"/>
              </w:rPr>
              <w:t>覆盖类别</w:t>
            </w:r>
          </w:p>
        </w:tc>
        <w:tc>
          <w:tcPr>
            <w:tcW w:w="1701" w:type="dxa"/>
            <w:vAlign w:val="center"/>
          </w:tcPr>
          <w:p w14:paraId="1C56124F">
            <w:pPr>
              <w:pStyle w:val="25"/>
              <w:spacing w:before="20" w:after="20"/>
              <w:jc w:val="center"/>
            </w:pPr>
            <w:r>
              <w:rPr>
                <w:sz w:val="21"/>
              </w:rPr>
              <w:t>12 / 16 类</w:t>
            </w:r>
          </w:p>
        </w:tc>
        <w:tc>
          <w:tcPr>
            <w:tcW w:w="5102" w:type="dxa"/>
            <w:vAlign w:val="center"/>
          </w:tcPr>
          <w:p w14:paraId="6BD4AE0D">
            <w:pPr>
              <w:pStyle w:val="25"/>
              <w:spacing w:before="20" w:after="20"/>
              <w:jc w:val="center"/>
            </w:pPr>
            <w:r>
              <w:rPr>
                <w:sz w:val="21"/>
              </w:rPr>
              <w:t>缺 4 类地线线夹缺陷</w:t>
            </w:r>
          </w:p>
        </w:tc>
      </w:tr>
      <w:tr w14:paraId="22E7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2CE0C901">
            <w:pPr>
              <w:pStyle w:val="25"/>
              <w:spacing w:before="20" w:after="20"/>
              <w:jc w:val="center"/>
            </w:pPr>
            <w:r>
              <w:rPr>
                <w:sz w:val="21"/>
              </w:rPr>
              <w:t>最大/最小类别比</w:t>
            </w:r>
          </w:p>
        </w:tc>
        <w:tc>
          <w:tcPr>
            <w:tcW w:w="1701" w:type="dxa"/>
            <w:vAlign w:val="center"/>
          </w:tcPr>
          <w:p w14:paraId="3B1BC509">
            <w:pPr>
              <w:pStyle w:val="25"/>
              <w:spacing w:before="20" w:after="20"/>
              <w:jc w:val="center"/>
            </w:pPr>
            <w:r>
              <w:rPr>
                <w:sz w:val="21"/>
              </w:rPr>
              <w:t>9.2 : 1</w:t>
            </w:r>
          </w:p>
        </w:tc>
        <w:tc>
          <w:tcPr>
            <w:tcW w:w="5102" w:type="dxa"/>
            <w:vAlign w:val="center"/>
          </w:tcPr>
          <w:p w14:paraId="796D9206">
            <w:pPr>
              <w:pStyle w:val="25"/>
              <w:spacing w:before="20" w:after="20"/>
              <w:jc w:val="left"/>
            </w:pPr>
            <w:r>
              <w:rPr>
                <w:sz w:val="21"/>
              </w:rPr>
              <w:t>最多类 470 例 vs 最少类 51 例</w:t>
            </w:r>
          </w:p>
        </w:tc>
      </w:tr>
    </w:tbl>
    <w:p w14:paraId="28C35D85">
      <w:pPr>
        <w:spacing w:after="40" w:line="240" w:lineRule="auto"/>
      </w:pPr>
    </w:p>
    <w:p w14:paraId="2BCB40E4">
      <w:pPr>
        <w:pStyle w:val="22"/>
        <w:spacing w:before="120" w:after="0"/>
        <w:jc w:val="center"/>
      </w:pPr>
      <w:r>
        <w:drawing>
          <wp:inline distT="0" distB="0" distL="114300" distR="114300">
            <wp:extent cx="5183505" cy="3713480"/>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84000" cy="3713910"/>
                    </a:xfrm>
                    <a:prstGeom prst="rect">
                      <a:avLst/>
                    </a:prstGeom>
                  </pic:spPr>
                </pic:pic>
              </a:graphicData>
            </a:graphic>
          </wp:inline>
        </w:drawing>
      </w:r>
    </w:p>
    <w:p w14:paraId="07F8AB07">
      <w:pPr>
        <w:pStyle w:val="11"/>
        <w:spacing w:before="80" w:after="80"/>
      </w:pPr>
      <w:r>
        <w:t>图 1-1　现有数据集各类别样本分布</w:t>
      </w:r>
    </w:p>
    <w:p w14:paraId="0F875DF2">
      <w:pPr>
        <w:spacing w:after="0" w:line="360" w:lineRule="auto"/>
        <w:ind w:firstLine="480" w:firstLineChars="200"/>
      </w:pPr>
      <w:r>
        <w:t>数据集主要存在四方面问题：</w:t>
      </w:r>
    </w:p>
    <w:p w14:paraId="5D49C559">
      <w:pPr>
        <w:spacing w:after="0" w:line="360" w:lineRule="auto"/>
        <w:ind w:firstLine="480" w:firstLineChars="200"/>
      </w:pPr>
      <w:r>
        <w:t>（1）</w:t>
      </w:r>
      <w:r>
        <w:rPr>
          <w:b/>
        </w:rPr>
        <w:t>总量不足</w:t>
      </w:r>
      <w:r>
        <w:t>。对螺母、销钉这类仅数十像素的小目标缺陷，2241 个实例远低于可靠训练所需的样本规模，各类别样本数量不足以支撑训练结果的可靠性；</w:t>
      </w:r>
    </w:p>
    <w:p w14:paraId="381B5449">
      <w:pPr>
        <w:spacing w:after="0" w:line="360" w:lineRule="auto"/>
        <w:ind w:firstLine="480" w:firstLineChars="200"/>
      </w:pPr>
      <w:r>
        <w:t>（2）</w:t>
      </w:r>
      <w:r>
        <w:rPr>
          <w:b/>
        </w:rPr>
        <w:t>类别严重不均衡</w:t>
      </w:r>
      <w:r>
        <w:t>。头尾类别样本比达 9.2:1，模型训练向样本多的类别倾斜，尾部类别长期欠拟合；</w:t>
      </w:r>
    </w:p>
    <w:p w14:paraId="5EA086C3">
      <w:pPr>
        <w:spacing w:after="0" w:line="360" w:lineRule="auto"/>
        <w:ind w:firstLine="480" w:firstLineChars="200"/>
      </w:pPr>
      <w:r>
        <w:t>（3）</w:t>
      </w:r>
      <w:r>
        <w:rPr>
          <w:b/>
        </w:rPr>
        <w:t>“松动”类样本系统性缺乏</w:t>
      </w:r>
      <w:r>
        <w:t>。松动类缺陷视觉特征细微（螺母位移、双螺母间隙变化等），其样本量普遍只有对应“缺失”类的 1/4～1/3，直接导致松动类识别准确率低；</w:t>
      </w:r>
    </w:p>
    <w:p w14:paraId="53B8002E">
      <w:pPr>
        <w:spacing w:after="0" w:line="360" w:lineRule="auto"/>
        <w:ind w:firstLine="480" w:firstLineChars="200"/>
      </w:pPr>
      <w:r>
        <w:t>（4）</w:t>
      </w:r>
      <w:r>
        <w:rPr>
          <w:b/>
        </w:rPr>
        <w:t>数据来源单一</w:t>
      </w:r>
      <w:r>
        <w:t>。现有数据以车间限定环境静态拍摄为主，对实际运营场景的光照、角度、遮挡与运动模糊等变化覆盖不足，训练数据与实际部署环境存在明显差异。</w:t>
      </w:r>
    </w:p>
    <w:p w14:paraId="72828100">
      <w:pPr>
        <w:pStyle w:val="3"/>
        <w:spacing w:before="200" w:after="120" w:line="312" w:lineRule="auto"/>
      </w:pPr>
      <w:bookmarkStart w:id="6" w:name="_Toc23381"/>
      <w:r>
        <w:rPr>
          <w:rFonts w:eastAsia="黑体"/>
        </w:rPr>
        <w:t>（五）缺陷类型理解偏差与术语混乱</w:t>
      </w:r>
      <w:bookmarkEnd w:id="6"/>
    </w:p>
    <w:p w14:paraId="1BAD6BCA">
      <w:pPr>
        <w:spacing w:after="0" w:line="360" w:lineRule="auto"/>
        <w:ind w:firstLine="480" w:firstLineChars="200"/>
      </w:pPr>
      <w:r>
        <w:t>前期开发中对部分缺陷类别的理解与命名，与合同约定及现场实际定义存在偏差，经梳理后已统一纠正，典型问题如下：</w:t>
      </w:r>
    </w:p>
    <w:p w14:paraId="750AF7E4">
      <w:pPr>
        <w:spacing w:after="0" w:line="360" w:lineRule="auto"/>
        <w:ind w:firstLine="480" w:firstLineChars="200"/>
      </w:pPr>
      <w:r>
        <w:t>（1）</w:t>
      </w:r>
      <w:r>
        <w:rPr>
          <w:b/>
        </w:rPr>
        <w:t>垂直悬吊类别理解有误</w:t>
      </w:r>
      <w:r>
        <w:t>。垂直悬吊装置是刚性接触网将汇流排固定于隧道顶部盾构片的核心悬挂构件，由垂直悬吊安装底座与单支垂直悬吊槽钢组成。早期训练文档曾将该系列缺陷误记为“垂直划痕、水平划痕、接缝破损”等名称（与隧道衬砌缺陷术语混淆），导致标注口径、训练目标与评估结论出现偏差。现已依据缺陷类型详解统一纠正为“垂直悬吊安装底座螺母缺失/松动”“单支垂直悬吊槽钢底座螺母缺失/松动”“单支垂直悬吊槽钢上方螺母松动”等规范名称；</w:t>
      </w:r>
    </w:p>
    <w:p w14:paraId="6FAE92C5">
      <w:pPr>
        <w:spacing w:after="0" w:line="360" w:lineRule="auto"/>
        <w:ind w:firstLine="480" w:firstLineChars="200"/>
      </w:pPr>
      <w:r>
        <w:t>（2）</w:t>
      </w:r>
      <w:r>
        <w:rPr>
          <w:b/>
        </w:rPr>
        <w:t>地线线夹类别图片缺失</w:t>
      </w:r>
      <w:r>
        <w:t>。地线线夹是将架空地线固定于支持结构上的线夹类构件，含托板安装底座螺母与线夹本体螺母两个系列共 4 类缺陷。前期采集计划未将该构件纳入拍摄范围，未获取到任何图片，是本次重构中最大的类别缺口，需专项组织补拍；</w:t>
      </w:r>
    </w:p>
    <w:p w14:paraId="327FA969">
      <w:pPr>
        <w:spacing w:after="0" w:line="360" w:lineRule="auto"/>
        <w:ind w:firstLine="480" w:firstLineChars="200"/>
      </w:pPr>
      <w:r>
        <w:t>（3）</w:t>
      </w:r>
      <w:r>
        <w:rPr>
          <w:b/>
        </w:rPr>
        <w:t>新旧编码并存</w:t>
      </w:r>
      <w:r>
        <w:t>。早期标注使用垂直 J 型螺栓、U 型抱箍等非标准名称与编码，现已建立与规范编码的统一映射（见表 1-4），历史数据可经自动转换后复用。</w:t>
      </w:r>
    </w:p>
    <w:p w14:paraId="1921F60C">
      <w:pPr>
        <w:pStyle w:val="11"/>
        <w:spacing w:before="80" w:after="80"/>
      </w:pPr>
      <w:r>
        <w:t>表 1-4　新旧编码与术语纠偏对照（节选）</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9"/>
        <w:gridCol w:w="2769"/>
        <w:gridCol w:w="2769"/>
      </w:tblGrid>
      <w:tr w14:paraId="705D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9E2F3"/>
            <w:vAlign w:val="center"/>
          </w:tcPr>
          <w:p w14:paraId="16C68F6B">
            <w:pPr>
              <w:pStyle w:val="25"/>
              <w:spacing w:before="20" w:after="20"/>
              <w:jc w:val="center"/>
            </w:pPr>
            <w:r>
              <w:rPr>
                <w:b/>
                <w:sz w:val="21"/>
              </w:rPr>
              <w:t>旧编码 / 旧名称</w:t>
            </w:r>
          </w:p>
        </w:tc>
        <w:tc>
          <w:tcPr>
            <w:tcW w:w="1361" w:type="dxa"/>
            <w:shd w:val="clear" w:color="auto" w:fill="D9E2F3"/>
            <w:vAlign w:val="center"/>
          </w:tcPr>
          <w:p w14:paraId="559F6514">
            <w:pPr>
              <w:pStyle w:val="25"/>
              <w:spacing w:before="20" w:after="20"/>
              <w:jc w:val="center"/>
            </w:pPr>
            <w:r>
              <w:rPr>
                <w:b/>
                <w:sz w:val="21"/>
              </w:rPr>
              <w:t>规范编码</w:t>
            </w:r>
          </w:p>
        </w:tc>
        <w:tc>
          <w:tcPr>
            <w:tcW w:w="3969" w:type="dxa"/>
            <w:shd w:val="clear" w:color="auto" w:fill="D9E2F3"/>
            <w:vAlign w:val="center"/>
          </w:tcPr>
          <w:p w14:paraId="0CA4E7BB">
            <w:pPr>
              <w:pStyle w:val="25"/>
              <w:spacing w:before="20" w:after="20"/>
              <w:jc w:val="center"/>
            </w:pPr>
            <w:r>
              <w:rPr>
                <w:b/>
                <w:sz w:val="21"/>
              </w:rPr>
              <w:t>规范名称</w:t>
            </w:r>
          </w:p>
        </w:tc>
      </w:tr>
      <w:tr w14:paraId="5EBD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vAlign w:val="center"/>
          </w:tcPr>
          <w:p w14:paraId="0A06AA83">
            <w:pPr>
              <w:pStyle w:val="25"/>
              <w:spacing w:before="20" w:after="20"/>
              <w:jc w:val="left"/>
            </w:pPr>
            <w:r>
              <w:rPr>
                <w:sz w:val="21"/>
              </w:rPr>
              <w:t>VJBNM / 垂直J型螺栓正常缺失</w:t>
            </w:r>
          </w:p>
        </w:tc>
        <w:tc>
          <w:tcPr>
            <w:tcW w:w="1361" w:type="dxa"/>
            <w:vAlign w:val="center"/>
          </w:tcPr>
          <w:p w14:paraId="045E2E20">
            <w:pPr>
              <w:pStyle w:val="25"/>
              <w:spacing w:before="20" w:after="20"/>
              <w:jc w:val="center"/>
            </w:pPr>
            <w:r>
              <w:rPr>
                <w:sz w:val="21"/>
              </w:rPr>
              <w:t>VHBNM</w:t>
            </w:r>
          </w:p>
        </w:tc>
        <w:tc>
          <w:tcPr>
            <w:tcW w:w="3969" w:type="dxa"/>
            <w:vAlign w:val="center"/>
          </w:tcPr>
          <w:p w14:paraId="444CCC7E">
            <w:pPr>
              <w:pStyle w:val="25"/>
              <w:spacing w:before="20" w:after="20"/>
              <w:jc w:val="center"/>
            </w:pPr>
            <w:r>
              <w:rPr>
                <w:sz w:val="21"/>
              </w:rPr>
              <w:t>垂直悬吊安装底座螺母缺失</w:t>
            </w:r>
          </w:p>
        </w:tc>
      </w:tr>
      <w:tr w14:paraId="4E355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vAlign w:val="center"/>
          </w:tcPr>
          <w:p w14:paraId="7E00831C">
            <w:pPr>
              <w:pStyle w:val="25"/>
              <w:spacing w:before="20" w:after="20"/>
              <w:jc w:val="left"/>
            </w:pPr>
            <w:r>
              <w:rPr>
                <w:sz w:val="21"/>
              </w:rPr>
              <w:t>VJBNL / 垂直J型螺栓正常松动</w:t>
            </w:r>
          </w:p>
        </w:tc>
        <w:tc>
          <w:tcPr>
            <w:tcW w:w="1361" w:type="dxa"/>
            <w:vAlign w:val="center"/>
          </w:tcPr>
          <w:p w14:paraId="1063AB8E">
            <w:pPr>
              <w:pStyle w:val="25"/>
              <w:spacing w:before="20" w:after="20"/>
              <w:jc w:val="center"/>
            </w:pPr>
            <w:r>
              <w:rPr>
                <w:sz w:val="21"/>
              </w:rPr>
              <w:t>VHBNL</w:t>
            </w:r>
          </w:p>
        </w:tc>
        <w:tc>
          <w:tcPr>
            <w:tcW w:w="3969" w:type="dxa"/>
            <w:vAlign w:val="center"/>
          </w:tcPr>
          <w:p w14:paraId="3E2085B2">
            <w:pPr>
              <w:pStyle w:val="25"/>
              <w:spacing w:before="20" w:after="20"/>
              <w:jc w:val="center"/>
            </w:pPr>
            <w:r>
              <w:rPr>
                <w:sz w:val="21"/>
              </w:rPr>
              <w:t>垂直悬吊安装底座螺母松动</w:t>
            </w:r>
          </w:p>
        </w:tc>
      </w:tr>
      <w:tr w14:paraId="1A3E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vAlign w:val="center"/>
          </w:tcPr>
          <w:p w14:paraId="5EE31EAC">
            <w:pPr>
              <w:pStyle w:val="25"/>
              <w:spacing w:before="20" w:after="20"/>
              <w:jc w:val="left"/>
            </w:pPr>
            <w:r>
              <w:rPr>
                <w:sz w:val="21"/>
              </w:rPr>
              <w:t>VJBSL / 垂直J型螺栓杆松动</w:t>
            </w:r>
          </w:p>
        </w:tc>
        <w:tc>
          <w:tcPr>
            <w:tcW w:w="1361" w:type="dxa"/>
            <w:vAlign w:val="center"/>
          </w:tcPr>
          <w:p w14:paraId="08842841">
            <w:pPr>
              <w:pStyle w:val="25"/>
              <w:spacing w:before="20" w:after="20"/>
              <w:jc w:val="center"/>
            </w:pPr>
            <w:r>
              <w:rPr>
                <w:sz w:val="21"/>
              </w:rPr>
              <w:t>SVHTNL</w:t>
            </w:r>
          </w:p>
        </w:tc>
        <w:tc>
          <w:tcPr>
            <w:tcW w:w="3969" w:type="dxa"/>
            <w:vAlign w:val="center"/>
          </w:tcPr>
          <w:p w14:paraId="3E88BEC4">
            <w:pPr>
              <w:pStyle w:val="25"/>
              <w:spacing w:before="20" w:after="20"/>
              <w:jc w:val="center"/>
            </w:pPr>
            <w:r>
              <w:rPr>
                <w:sz w:val="21"/>
              </w:rPr>
              <w:t>单支垂直悬吊槽钢上方螺母松动</w:t>
            </w:r>
          </w:p>
        </w:tc>
      </w:tr>
      <w:tr w14:paraId="71E43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vAlign w:val="center"/>
          </w:tcPr>
          <w:p w14:paraId="3ADA4C84">
            <w:pPr>
              <w:pStyle w:val="25"/>
              <w:spacing w:before="20" w:after="20"/>
              <w:jc w:val="left"/>
            </w:pPr>
            <w:r>
              <w:rPr>
                <w:sz w:val="21"/>
              </w:rPr>
              <w:t>CBHSL / U型抱箍螺栓横轴松动</w:t>
            </w:r>
          </w:p>
        </w:tc>
        <w:tc>
          <w:tcPr>
            <w:tcW w:w="1361" w:type="dxa"/>
            <w:vAlign w:val="center"/>
          </w:tcPr>
          <w:p w14:paraId="2AF95156">
            <w:pPr>
              <w:pStyle w:val="25"/>
              <w:spacing w:before="20" w:after="20"/>
              <w:jc w:val="center"/>
            </w:pPr>
            <w:r>
              <w:rPr>
                <w:sz w:val="21"/>
              </w:rPr>
              <w:t>CBHPM</w:t>
            </w:r>
          </w:p>
        </w:tc>
        <w:tc>
          <w:tcPr>
            <w:tcW w:w="3969" w:type="dxa"/>
            <w:vAlign w:val="center"/>
          </w:tcPr>
          <w:p w14:paraId="4593D45A">
            <w:pPr>
              <w:pStyle w:val="25"/>
              <w:spacing w:before="20" w:after="20"/>
              <w:jc w:val="center"/>
            </w:pPr>
            <w:r>
              <w:rPr>
                <w:sz w:val="21"/>
              </w:rPr>
              <w:t>腕臂底座横向销钉缺开口销</w:t>
            </w:r>
          </w:p>
        </w:tc>
      </w:tr>
      <w:tr w14:paraId="49D23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vAlign w:val="center"/>
          </w:tcPr>
          <w:p w14:paraId="0075AB4B">
            <w:pPr>
              <w:pStyle w:val="25"/>
              <w:spacing w:before="20" w:after="20"/>
              <w:jc w:val="left"/>
            </w:pPr>
            <w:r>
              <w:rPr>
                <w:sz w:val="21"/>
              </w:rPr>
              <w:t>CBHNM、CBHNL / U型抱箍平头螺母缺失、松动</w:t>
            </w:r>
          </w:p>
        </w:tc>
        <w:tc>
          <w:tcPr>
            <w:tcW w:w="1361" w:type="dxa"/>
            <w:vAlign w:val="center"/>
          </w:tcPr>
          <w:p w14:paraId="77D58733">
            <w:pPr>
              <w:pStyle w:val="25"/>
              <w:spacing w:before="20" w:after="20"/>
              <w:jc w:val="center"/>
            </w:pPr>
            <w:r>
              <w:rPr>
                <w:sz w:val="21"/>
              </w:rPr>
              <w:t>CBHPM</w:t>
            </w:r>
          </w:p>
        </w:tc>
        <w:tc>
          <w:tcPr>
            <w:tcW w:w="3969" w:type="dxa"/>
            <w:vAlign w:val="center"/>
          </w:tcPr>
          <w:p w14:paraId="56C23698">
            <w:pPr>
              <w:pStyle w:val="25"/>
              <w:spacing w:before="20" w:after="20"/>
              <w:jc w:val="center"/>
            </w:pPr>
            <w:r>
              <w:rPr>
                <w:sz w:val="21"/>
              </w:rPr>
              <w:t>腕臂底座横向销钉缺开口销</w:t>
            </w:r>
          </w:p>
        </w:tc>
      </w:tr>
      <w:tr w14:paraId="762F7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vAlign w:val="center"/>
          </w:tcPr>
          <w:p w14:paraId="1A5FCBFD">
            <w:pPr>
              <w:pStyle w:val="25"/>
              <w:spacing w:before="20" w:after="20"/>
              <w:jc w:val="center"/>
            </w:pPr>
            <w:r>
              <w:rPr>
                <w:sz w:val="21"/>
              </w:rPr>
              <w:t>DDL / 吊弦松动、断裂</w:t>
            </w:r>
          </w:p>
        </w:tc>
        <w:tc>
          <w:tcPr>
            <w:tcW w:w="1361" w:type="dxa"/>
            <w:vAlign w:val="center"/>
          </w:tcPr>
          <w:p w14:paraId="702BD7BD">
            <w:pPr>
              <w:pStyle w:val="25"/>
              <w:spacing w:before="20" w:after="20"/>
              <w:jc w:val="center"/>
            </w:pPr>
            <w:r>
              <w:rPr>
                <w:sz w:val="21"/>
              </w:rPr>
              <w:t>DRPS</w:t>
            </w:r>
          </w:p>
        </w:tc>
        <w:tc>
          <w:tcPr>
            <w:tcW w:w="3969" w:type="dxa"/>
            <w:vAlign w:val="center"/>
          </w:tcPr>
          <w:p w14:paraId="7A32354B">
            <w:pPr>
              <w:pStyle w:val="25"/>
              <w:spacing w:before="20" w:after="20"/>
              <w:jc w:val="center"/>
            </w:pPr>
            <w:r>
              <w:rPr>
                <w:sz w:val="21"/>
              </w:rPr>
              <w:t>吊弦不受力</w:t>
            </w:r>
          </w:p>
        </w:tc>
      </w:tr>
      <w:tr w14:paraId="7BFB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vAlign w:val="center"/>
          </w:tcPr>
          <w:p w14:paraId="57A30A40">
            <w:pPr>
              <w:pStyle w:val="25"/>
              <w:spacing w:before="20" w:after="20"/>
              <w:jc w:val="center"/>
            </w:pPr>
            <w:r>
              <w:rPr>
                <w:sz w:val="21"/>
              </w:rPr>
              <w:t>JXP / JXP型绝缘子缺陷</w:t>
            </w:r>
          </w:p>
        </w:tc>
        <w:tc>
          <w:tcPr>
            <w:tcW w:w="1361" w:type="dxa"/>
            <w:vAlign w:val="center"/>
          </w:tcPr>
          <w:p w14:paraId="0C8AC10F">
            <w:pPr>
              <w:pStyle w:val="25"/>
              <w:spacing w:before="20" w:after="20"/>
              <w:jc w:val="center"/>
            </w:pPr>
            <w:r>
              <w:rPr>
                <w:sz w:val="21"/>
              </w:rPr>
              <w:t>INSD</w:t>
            </w:r>
          </w:p>
        </w:tc>
        <w:tc>
          <w:tcPr>
            <w:tcW w:w="3969" w:type="dxa"/>
            <w:vAlign w:val="center"/>
          </w:tcPr>
          <w:p w14:paraId="2FC6FF01">
            <w:pPr>
              <w:pStyle w:val="25"/>
              <w:spacing w:before="20" w:after="20"/>
              <w:jc w:val="center"/>
            </w:pPr>
            <w:r>
              <w:rPr>
                <w:sz w:val="21"/>
              </w:rPr>
              <w:t>绝缘子破损</w:t>
            </w:r>
          </w:p>
        </w:tc>
      </w:tr>
      <w:tr w14:paraId="01003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vAlign w:val="center"/>
          </w:tcPr>
          <w:p w14:paraId="78ECA5A9">
            <w:pPr>
              <w:pStyle w:val="25"/>
              <w:spacing w:before="20" w:after="20"/>
              <w:jc w:val="center"/>
            </w:pPr>
            <w:r>
              <w:rPr>
                <w:sz w:val="21"/>
              </w:rPr>
              <w:t>GJJ / 钢结构锈蚀、变形</w:t>
            </w:r>
          </w:p>
        </w:tc>
        <w:tc>
          <w:tcPr>
            <w:tcW w:w="1361" w:type="dxa"/>
            <w:vAlign w:val="center"/>
          </w:tcPr>
          <w:p w14:paraId="4F88B027">
            <w:pPr>
              <w:pStyle w:val="25"/>
              <w:spacing w:before="20" w:after="20"/>
              <w:jc w:val="center"/>
            </w:pPr>
            <w:r>
              <w:rPr>
                <w:sz w:val="21"/>
              </w:rPr>
              <w:t>BSBM</w:t>
            </w:r>
          </w:p>
        </w:tc>
        <w:tc>
          <w:tcPr>
            <w:tcW w:w="3969" w:type="dxa"/>
            <w:vAlign w:val="center"/>
          </w:tcPr>
          <w:p w14:paraId="3240D29F">
            <w:pPr>
              <w:pStyle w:val="25"/>
              <w:spacing w:before="20" w:after="20"/>
              <w:jc w:val="center"/>
            </w:pPr>
            <w:r>
              <w:rPr>
                <w:sz w:val="21"/>
              </w:rPr>
              <w:t>汇流排中间接头螺栓缺失</w:t>
            </w:r>
          </w:p>
        </w:tc>
      </w:tr>
    </w:tbl>
    <w:p w14:paraId="4291F7AE">
      <w:pPr>
        <w:spacing w:after="40" w:line="240" w:lineRule="auto"/>
      </w:pPr>
    </w:p>
    <w:p w14:paraId="2B2A9C7B">
      <w:pPr>
        <w:spacing w:after="0" w:line="360" w:lineRule="auto"/>
        <w:ind w:firstLine="480" w:firstLineChars="200"/>
      </w:pPr>
      <w:r>
        <w:t>类别理解偏差造成两方面直接后果：一是模型学习了错误的目标，特征与真实缺陷语义不对应；二是评估口径混乱，不同版本的指标不可比、不可信。因此，本次数据集重构以</w:t>
      </w:r>
      <w:r>
        <w:rPr>
          <w:b/>
        </w:rPr>
        <w:t>类别术语规范化与标注人员再培训</w:t>
      </w:r>
      <w:r>
        <w:t>为先决条件。</w:t>
      </w:r>
    </w:p>
    <w:p w14:paraId="35EAF2CC">
      <w:pPr>
        <w:pStyle w:val="2"/>
        <w:spacing w:before="280" w:after="160" w:line="312" w:lineRule="auto"/>
      </w:pPr>
      <w:bookmarkStart w:id="7" w:name="_Toc24795"/>
      <w:r>
        <w:rPr>
          <w:rFonts w:eastAsia="黑体"/>
        </w:rPr>
        <w:t>第二部分　8 月 15 日前任务目标及要做的工作</w:t>
      </w:r>
      <w:bookmarkEnd w:id="7"/>
    </w:p>
    <w:p w14:paraId="19FDA56D">
      <w:pPr>
        <w:pStyle w:val="3"/>
        <w:spacing w:before="200" w:after="120" w:line="312" w:lineRule="auto"/>
      </w:pPr>
      <w:bookmarkStart w:id="8" w:name="_Toc2978"/>
      <w:r>
        <w:rPr>
          <w:rFonts w:eastAsia="黑体"/>
        </w:rPr>
        <w:t>（一）任务目标</w:t>
      </w:r>
      <w:bookmarkEnd w:id="8"/>
    </w:p>
    <w:p w14:paraId="3E8AEB79">
      <w:pPr>
        <w:spacing w:after="0" w:line="360" w:lineRule="auto"/>
        <w:ind w:firstLine="480" w:firstLineChars="200"/>
      </w:pPr>
      <w:r>
        <w:t>以 2026 年 8 月 15 日车载端搭载联调为刚性节点，本阶段的任务目标为：</w:t>
      </w:r>
    </w:p>
    <w:p w14:paraId="2F3E3C7F">
      <w:pPr>
        <w:spacing w:after="0" w:line="360" w:lineRule="auto"/>
        <w:ind w:firstLine="480" w:firstLineChars="200"/>
      </w:pPr>
      <w:r>
        <w:t>1．</w:t>
      </w:r>
      <w:r>
        <w:rPr>
          <w:b/>
        </w:rPr>
        <w:t>全面重构数据集</w:t>
      </w:r>
      <w:r>
        <w:t xml:space="preserve">：依据新采集的 </w:t>
      </w:r>
      <w:r>
        <w:rPr>
          <w:b/>
        </w:rPr>
        <w:t>3800 余张</w:t>
      </w:r>
      <w:r>
        <w:t>接触网图像，完成入库、质检、标注与复核，重构后的数据集缺陷实例总量不少于 5000 个，类别覆盖不少于 14 类（含地线线夹类别的专项采集与标注），做到类别数量均衡——单类别实例不少于 250 个，最大与最小类别样本比不超过 2.5:1，确保各缺陷类型拥有足够的样本数量以保证训练结果的可靠性；</w:t>
      </w:r>
    </w:p>
    <w:p w14:paraId="4A871487">
      <w:pPr>
        <w:spacing w:after="0" w:line="360" w:lineRule="auto"/>
        <w:ind w:firstLine="480" w:firstLineChars="200"/>
      </w:pPr>
      <w:r>
        <w:t>2．</w:t>
      </w:r>
      <w:r>
        <w:rPr>
          <w:b/>
        </w:rPr>
        <w:t>训练新一版本模型</w:t>
      </w:r>
      <w:r>
        <w:t>：基于重构数据集训练类别覆盖更全面的 v2.0 版本模型，实现更全面的缺陷类型覆盖；</w:t>
      </w:r>
    </w:p>
    <w:p w14:paraId="4900D2F6">
      <w:pPr>
        <w:spacing w:after="0" w:line="360" w:lineRule="auto"/>
        <w:ind w:firstLine="480" w:firstLineChars="200"/>
      </w:pPr>
      <w:r>
        <w:t>3．</w:t>
      </w:r>
      <w:r>
        <w:rPr>
          <w:b/>
        </w:rPr>
        <w:t>支撑车载联调</w:t>
      </w:r>
      <w:r>
        <w:t>：完成模型车载端推理适配，按期交付支撑 8 月 15 日车载端搭载联调。</w:t>
      </w:r>
    </w:p>
    <w:p w14:paraId="28CD8873">
      <w:pPr>
        <w:pStyle w:val="3"/>
        <w:spacing w:before="200" w:after="120" w:line="312" w:lineRule="auto"/>
      </w:pPr>
      <w:bookmarkStart w:id="9" w:name="_Toc9330"/>
      <w:r>
        <w:rPr>
          <w:rFonts w:eastAsia="黑体"/>
        </w:rPr>
        <w:t>（二）数据集全面重构</w:t>
      </w:r>
      <w:bookmarkEnd w:id="9"/>
    </w:p>
    <w:p w14:paraId="3F4CECCF">
      <w:pPr>
        <w:pStyle w:val="4"/>
        <w:spacing w:before="200" w:after="120" w:line="312" w:lineRule="auto"/>
      </w:pPr>
      <w:r>
        <w:rPr>
          <w:rFonts w:eastAsia="黑体"/>
        </w:rPr>
        <w:t>1．数据基础</w:t>
      </w:r>
    </w:p>
    <w:p w14:paraId="24441D2B">
      <w:pPr>
        <w:spacing w:after="0" w:line="360" w:lineRule="auto"/>
        <w:ind w:firstLine="480" w:firstLineChars="200"/>
      </w:pPr>
      <w:r>
        <w:t>重构以“存量复核＋增量标注”方式进行：既有数据集（1231 张图像、2241 个标注实例）经术语与标注复核后纳入基盘；新采集的 3800 余张图像为本次增量主体；另保留适量无缺陷背景图与困难负样本用于误报抑制。</w:t>
      </w:r>
    </w:p>
    <w:p w14:paraId="080CC0F5">
      <w:pPr>
        <w:pStyle w:val="4"/>
        <w:spacing w:before="200" w:after="120" w:line="312" w:lineRule="auto"/>
      </w:pPr>
      <w:r>
        <w:rPr>
          <w:rFonts w:eastAsia="黑体"/>
        </w:rPr>
        <w:t>2．统一类别体系</w:t>
      </w:r>
    </w:p>
    <w:p w14:paraId="205C5DBC">
      <w:pPr>
        <w:spacing w:after="0" w:line="360" w:lineRule="auto"/>
        <w:ind w:firstLine="480" w:firstLineChars="200"/>
      </w:pPr>
      <w:r>
        <w:t>标注、训练与推理统一执行合同 16 类规范编码体系（见表 2-1），标注文件一律使用标准英文编码，中文名称仅用于展示。</w:t>
      </w:r>
    </w:p>
    <w:p w14:paraId="3E41443E">
      <w:pPr>
        <w:pStyle w:val="11"/>
        <w:spacing w:before="80" w:after="80"/>
      </w:pPr>
      <w:r>
        <w:t>表 2-1　16 类缺陷标准编码体系</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1"/>
        <w:gridCol w:w="1661"/>
        <w:gridCol w:w="1661"/>
        <w:gridCol w:w="1661"/>
        <w:gridCol w:w="1661"/>
      </w:tblGrid>
      <w:tr w14:paraId="1655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2F3"/>
            <w:vAlign w:val="center"/>
          </w:tcPr>
          <w:p w14:paraId="3D9CB64D">
            <w:pPr>
              <w:pStyle w:val="25"/>
              <w:spacing w:before="20" w:after="20"/>
              <w:jc w:val="center"/>
            </w:pPr>
            <w:r>
              <w:rPr>
                <w:b/>
                <w:sz w:val="19"/>
              </w:rPr>
              <w:t>ID</w:t>
            </w:r>
          </w:p>
        </w:tc>
        <w:tc>
          <w:tcPr>
            <w:tcW w:w="1474" w:type="dxa"/>
            <w:shd w:val="clear" w:color="auto" w:fill="D9E2F3"/>
            <w:vAlign w:val="center"/>
          </w:tcPr>
          <w:p w14:paraId="5EA67FDE">
            <w:pPr>
              <w:pStyle w:val="25"/>
              <w:spacing w:before="20" w:after="20"/>
              <w:jc w:val="center"/>
            </w:pPr>
            <w:r>
              <w:rPr>
                <w:b/>
                <w:sz w:val="19"/>
              </w:rPr>
              <w:t>编码</w:t>
            </w:r>
          </w:p>
        </w:tc>
        <w:tc>
          <w:tcPr>
            <w:tcW w:w="3515" w:type="dxa"/>
            <w:shd w:val="clear" w:color="auto" w:fill="D9E2F3"/>
            <w:vAlign w:val="center"/>
          </w:tcPr>
          <w:p w14:paraId="385FC8DA">
            <w:pPr>
              <w:pStyle w:val="25"/>
              <w:spacing w:before="20" w:after="20"/>
              <w:jc w:val="center"/>
            </w:pPr>
            <w:r>
              <w:rPr>
                <w:b/>
                <w:sz w:val="19"/>
              </w:rPr>
              <w:t>缺陷名称</w:t>
            </w:r>
          </w:p>
        </w:tc>
        <w:tc>
          <w:tcPr>
            <w:tcW w:w="1701" w:type="dxa"/>
            <w:shd w:val="clear" w:color="auto" w:fill="D9E2F3"/>
            <w:vAlign w:val="center"/>
          </w:tcPr>
          <w:p w14:paraId="5AAC5FA8">
            <w:pPr>
              <w:pStyle w:val="25"/>
              <w:spacing w:before="20" w:after="20"/>
              <w:jc w:val="center"/>
            </w:pPr>
            <w:r>
              <w:rPr>
                <w:b/>
                <w:sz w:val="19"/>
              </w:rPr>
              <w:t>所属系统</w:t>
            </w:r>
          </w:p>
        </w:tc>
        <w:tc>
          <w:tcPr>
            <w:tcW w:w="1247" w:type="dxa"/>
            <w:shd w:val="clear" w:color="auto" w:fill="D9E2F3"/>
            <w:vAlign w:val="center"/>
          </w:tcPr>
          <w:p w14:paraId="582BFF70">
            <w:pPr>
              <w:pStyle w:val="25"/>
              <w:spacing w:before="20" w:after="20"/>
              <w:jc w:val="center"/>
            </w:pPr>
            <w:r>
              <w:rPr>
                <w:b/>
                <w:sz w:val="19"/>
              </w:rPr>
              <w:t>严重等级</w:t>
            </w:r>
          </w:p>
        </w:tc>
      </w:tr>
      <w:tr w14:paraId="6378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ADEDD70">
            <w:pPr>
              <w:pStyle w:val="25"/>
              <w:spacing w:before="20" w:after="20"/>
              <w:jc w:val="center"/>
            </w:pPr>
            <w:r>
              <w:rPr>
                <w:sz w:val="19"/>
              </w:rPr>
              <w:t>0</w:t>
            </w:r>
          </w:p>
        </w:tc>
        <w:tc>
          <w:tcPr>
            <w:tcW w:w="1474" w:type="dxa"/>
            <w:vAlign w:val="center"/>
          </w:tcPr>
          <w:p w14:paraId="133F989C">
            <w:pPr>
              <w:pStyle w:val="25"/>
              <w:spacing w:before="20" w:after="20"/>
              <w:jc w:val="center"/>
            </w:pPr>
            <w:r>
              <w:rPr>
                <w:sz w:val="19"/>
              </w:rPr>
              <w:t>VHBNM</w:t>
            </w:r>
          </w:p>
        </w:tc>
        <w:tc>
          <w:tcPr>
            <w:tcW w:w="3515" w:type="dxa"/>
            <w:vAlign w:val="center"/>
          </w:tcPr>
          <w:p w14:paraId="38260727">
            <w:pPr>
              <w:pStyle w:val="25"/>
              <w:spacing w:before="20" w:after="20"/>
              <w:jc w:val="center"/>
            </w:pPr>
            <w:r>
              <w:rPr>
                <w:sz w:val="19"/>
              </w:rPr>
              <w:t>垂直悬吊安装底座螺母缺失</w:t>
            </w:r>
          </w:p>
        </w:tc>
        <w:tc>
          <w:tcPr>
            <w:tcW w:w="1701" w:type="dxa"/>
            <w:vAlign w:val="center"/>
          </w:tcPr>
          <w:p w14:paraId="4FE491B4">
            <w:pPr>
              <w:pStyle w:val="25"/>
              <w:spacing w:before="20" w:after="20"/>
              <w:jc w:val="center"/>
            </w:pPr>
            <w:r>
              <w:rPr>
                <w:sz w:val="19"/>
              </w:rPr>
              <w:t>刚性接触网</w:t>
            </w:r>
          </w:p>
        </w:tc>
        <w:tc>
          <w:tcPr>
            <w:tcW w:w="1247" w:type="dxa"/>
            <w:vAlign w:val="center"/>
          </w:tcPr>
          <w:p w14:paraId="03E618EF">
            <w:pPr>
              <w:pStyle w:val="25"/>
              <w:spacing w:before="20" w:after="20"/>
              <w:jc w:val="center"/>
            </w:pPr>
            <w:r>
              <w:rPr>
                <w:sz w:val="19"/>
              </w:rPr>
              <w:t>严重</w:t>
            </w:r>
          </w:p>
        </w:tc>
      </w:tr>
      <w:tr w14:paraId="04E1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202C631">
            <w:pPr>
              <w:pStyle w:val="25"/>
              <w:spacing w:before="20" w:after="20"/>
              <w:jc w:val="center"/>
            </w:pPr>
            <w:r>
              <w:rPr>
                <w:sz w:val="19"/>
              </w:rPr>
              <w:t>1</w:t>
            </w:r>
          </w:p>
        </w:tc>
        <w:tc>
          <w:tcPr>
            <w:tcW w:w="1474" w:type="dxa"/>
            <w:vAlign w:val="center"/>
          </w:tcPr>
          <w:p w14:paraId="602A5A02">
            <w:pPr>
              <w:pStyle w:val="25"/>
              <w:spacing w:before="20" w:after="20"/>
              <w:jc w:val="center"/>
            </w:pPr>
            <w:r>
              <w:rPr>
                <w:sz w:val="19"/>
              </w:rPr>
              <w:t>VHBNL</w:t>
            </w:r>
          </w:p>
        </w:tc>
        <w:tc>
          <w:tcPr>
            <w:tcW w:w="3515" w:type="dxa"/>
            <w:vAlign w:val="center"/>
          </w:tcPr>
          <w:p w14:paraId="0FCA81FE">
            <w:pPr>
              <w:pStyle w:val="25"/>
              <w:spacing w:before="20" w:after="20"/>
              <w:jc w:val="center"/>
            </w:pPr>
            <w:r>
              <w:rPr>
                <w:sz w:val="19"/>
              </w:rPr>
              <w:t>垂直悬吊安装底座螺母松动</w:t>
            </w:r>
          </w:p>
        </w:tc>
        <w:tc>
          <w:tcPr>
            <w:tcW w:w="1701" w:type="dxa"/>
            <w:vAlign w:val="center"/>
          </w:tcPr>
          <w:p w14:paraId="75211641">
            <w:pPr>
              <w:pStyle w:val="25"/>
              <w:spacing w:before="20" w:after="20"/>
              <w:jc w:val="center"/>
            </w:pPr>
            <w:r>
              <w:rPr>
                <w:sz w:val="19"/>
              </w:rPr>
              <w:t>刚性接触网</w:t>
            </w:r>
          </w:p>
        </w:tc>
        <w:tc>
          <w:tcPr>
            <w:tcW w:w="1247" w:type="dxa"/>
            <w:vAlign w:val="center"/>
          </w:tcPr>
          <w:p w14:paraId="120C8815">
            <w:pPr>
              <w:pStyle w:val="25"/>
              <w:spacing w:before="20" w:after="20"/>
              <w:jc w:val="center"/>
            </w:pPr>
            <w:r>
              <w:rPr>
                <w:sz w:val="19"/>
              </w:rPr>
              <w:t>严重</w:t>
            </w:r>
          </w:p>
        </w:tc>
      </w:tr>
      <w:tr w14:paraId="32C3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9E99BF7">
            <w:pPr>
              <w:pStyle w:val="25"/>
              <w:spacing w:before="20" w:after="20"/>
              <w:jc w:val="center"/>
            </w:pPr>
            <w:r>
              <w:rPr>
                <w:sz w:val="19"/>
              </w:rPr>
              <w:t>2</w:t>
            </w:r>
          </w:p>
        </w:tc>
        <w:tc>
          <w:tcPr>
            <w:tcW w:w="1474" w:type="dxa"/>
            <w:vAlign w:val="center"/>
          </w:tcPr>
          <w:p w14:paraId="21A1EBEA">
            <w:pPr>
              <w:pStyle w:val="25"/>
              <w:spacing w:before="20" w:after="20"/>
              <w:jc w:val="center"/>
            </w:pPr>
            <w:r>
              <w:rPr>
                <w:sz w:val="19"/>
              </w:rPr>
              <w:t>SVHBNM</w:t>
            </w:r>
          </w:p>
        </w:tc>
        <w:tc>
          <w:tcPr>
            <w:tcW w:w="3515" w:type="dxa"/>
            <w:vAlign w:val="center"/>
          </w:tcPr>
          <w:p w14:paraId="04D19DC5">
            <w:pPr>
              <w:pStyle w:val="25"/>
              <w:spacing w:before="20" w:after="20"/>
              <w:jc w:val="center"/>
            </w:pPr>
            <w:r>
              <w:rPr>
                <w:sz w:val="19"/>
              </w:rPr>
              <w:t>单支垂直悬吊槽钢底座螺母缺失</w:t>
            </w:r>
          </w:p>
        </w:tc>
        <w:tc>
          <w:tcPr>
            <w:tcW w:w="1701" w:type="dxa"/>
            <w:vAlign w:val="center"/>
          </w:tcPr>
          <w:p w14:paraId="108155AB">
            <w:pPr>
              <w:pStyle w:val="25"/>
              <w:spacing w:before="20" w:after="20"/>
              <w:jc w:val="center"/>
            </w:pPr>
            <w:r>
              <w:rPr>
                <w:sz w:val="19"/>
              </w:rPr>
              <w:t>刚性接触网</w:t>
            </w:r>
          </w:p>
        </w:tc>
        <w:tc>
          <w:tcPr>
            <w:tcW w:w="1247" w:type="dxa"/>
            <w:vAlign w:val="center"/>
          </w:tcPr>
          <w:p w14:paraId="4FD3D06B">
            <w:pPr>
              <w:pStyle w:val="25"/>
              <w:spacing w:before="20" w:after="20"/>
              <w:jc w:val="center"/>
            </w:pPr>
            <w:r>
              <w:rPr>
                <w:sz w:val="19"/>
              </w:rPr>
              <w:t>严重</w:t>
            </w:r>
          </w:p>
        </w:tc>
      </w:tr>
      <w:tr w14:paraId="2492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3BF7FEE">
            <w:pPr>
              <w:pStyle w:val="25"/>
              <w:spacing w:before="20" w:after="20"/>
              <w:jc w:val="center"/>
            </w:pPr>
            <w:r>
              <w:rPr>
                <w:sz w:val="19"/>
              </w:rPr>
              <w:t>3</w:t>
            </w:r>
          </w:p>
        </w:tc>
        <w:tc>
          <w:tcPr>
            <w:tcW w:w="1474" w:type="dxa"/>
            <w:vAlign w:val="center"/>
          </w:tcPr>
          <w:p w14:paraId="7B4D044A">
            <w:pPr>
              <w:pStyle w:val="25"/>
              <w:spacing w:before="20" w:after="20"/>
              <w:jc w:val="center"/>
            </w:pPr>
            <w:r>
              <w:rPr>
                <w:sz w:val="19"/>
              </w:rPr>
              <w:t>SVHBNL</w:t>
            </w:r>
          </w:p>
        </w:tc>
        <w:tc>
          <w:tcPr>
            <w:tcW w:w="3515" w:type="dxa"/>
            <w:vAlign w:val="center"/>
          </w:tcPr>
          <w:p w14:paraId="4D4146E8">
            <w:pPr>
              <w:pStyle w:val="25"/>
              <w:spacing w:before="20" w:after="20"/>
              <w:jc w:val="center"/>
            </w:pPr>
            <w:r>
              <w:rPr>
                <w:sz w:val="19"/>
              </w:rPr>
              <w:t>单支垂直悬吊槽钢底座螺母松动</w:t>
            </w:r>
          </w:p>
        </w:tc>
        <w:tc>
          <w:tcPr>
            <w:tcW w:w="1701" w:type="dxa"/>
            <w:vAlign w:val="center"/>
          </w:tcPr>
          <w:p w14:paraId="65912EAD">
            <w:pPr>
              <w:pStyle w:val="25"/>
              <w:spacing w:before="20" w:after="20"/>
              <w:jc w:val="center"/>
            </w:pPr>
            <w:r>
              <w:rPr>
                <w:sz w:val="19"/>
              </w:rPr>
              <w:t>刚性接触网</w:t>
            </w:r>
          </w:p>
        </w:tc>
        <w:tc>
          <w:tcPr>
            <w:tcW w:w="1247" w:type="dxa"/>
            <w:vAlign w:val="center"/>
          </w:tcPr>
          <w:p w14:paraId="09541489">
            <w:pPr>
              <w:pStyle w:val="25"/>
              <w:spacing w:before="20" w:after="20"/>
              <w:jc w:val="center"/>
            </w:pPr>
            <w:r>
              <w:rPr>
                <w:sz w:val="19"/>
              </w:rPr>
              <w:t>严重</w:t>
            </w:r>
          </w:p>
        </w:tc>
      </w:tr>
      <w:tr w14:paraId="1DD6E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819B83E">
            <w:pPr>
              <w:pStyle w:val="25"/>
              <w:spacing w:before="20" w:after="20"/>
              <w:jc w:val="center"/>
            </w:pPr>
            <w:r>
              <w:rPr>
                <w:sz w:val="19"/>
              </w:rPr>
              <w:t>4</w:t>
            </w:r>
          </w:p>
        </w:tc>
        <w:tc>
          <w:tcPr>
            <w:tcW w:w="1474" w:type="dxa"/>
            <w:vAlign w:val="center"/>
          </w:tcPr>
          <w:p w14:paraId="0A1BD7D0">
            <w:pPr>
              <w:pStyle w:val="25"/>
              <w:spacing w:before="20" w:after="20"/>
              <w:jc w:val="center"/>
            </w:pPr>
            <w:r>
              <w:rPr>
                <w:sz w:val="19"/>
              </w:rPr>
              <w:t>SVHTNL</w:t>
            </w:r>
          </w:p>
        </w:tc>
        <w:tc>
          <w:tcPr>
            <w:tcW w:w="3515" w:type="dxa"/>
            <w:vAlign w:val="center"/>
          </w:tcPr>
          <w:p w14:paraId="23D57376">
            <w:pPr>
              <w:pStyle w:val="25"/>
              <w:spacing w:before="20" w:after="20"/>
              <w:jc w:val="center"/>
            </w:pPr>
            <w:r>
              <w:rPr>
                <w:sz w:val="19"/>
              </w:rPr>
              <w:t>单支垂直悬吊槽钢上方螺母松动</w:t>
            </w:r>
          </w:p>
        </w:tc>
        <w:tc>
          <w:tcPr>
            <w:tcW w:w="1701" w:type="dxa"/>
            <w:vAlign w:val="center"/>
          </w:tcPr>
          <w:p w14:paraId="6109809C">
            <w:pPr>
              <w:pStyle w:val="25"/>
              <w:spacing w:before="20" w:after="20"/>
              <w:jc w:val="center"/>
            </w:pPr>
            <w:r>
              <w:rPr>
                <w:sz w:val="19"/>
              </w:rPr>
              <w:t>刚性接触网</w:t>
            </w:r>
          </w:p>
        </w:tc>
        <w:tc>
          <w:tcPr>
            <w:tcW w:w="1247" w:type="dxa"/>
            <w:vAlign w:val="center"/>
          </w:tcPr>
          <w:p w14:paraId="21E7D311">
            <w:pPr>
              <w:pStyle w:val="25"/>
              <w:spacing w:before="20" w:after="20"/>
              <w:jc w:val="center"/>
            </w:pPr>
            <w:r>
              <w:rPr>
                <w:sz w:val="19"/>
              </w:rPr>
              <w:t>一般</w:t>
            </w:r>
          </w:p>
        </w:tc>
      </w:tr>
      <w:tr w14:paraId="023A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5F074D4">
            <w:pPr>
              <w:pStyle w:val="25"/>
              <w:spacing w:before="20" w:after="20"/>
              <w:jc w:val="center"/>
            </w:pPr>
            <w:r>
              <w:rPr>
                <w:sz w:val="19"/>
              </w:rPr>
              <w:t>5</w:t>
            </w:r>
          </w:p>
        </w:tc>
        <w:tc>
          <w:tcPr>
            <w:tcW w:w="1474" w:type="dxa"/>
            <w:vAlign w:val="center"/>
          </w:tcPr>
          <w:p w14:paraId="272B3F5B">
            <w:pPr>
              <w:pStyle w:val="25"/>
              <w:spacing w:before="20" w:after="20"/>
              <w:jc w:val="center"/>
            </w:pPr>
            <w:r>
              <w:rPr>
                <w:sz w:val="19"/>
              </w:rPr>
              <w:t>RHTBNM</w:t>
            </w:r>
          </w:p>
        </w:tc>
        <w:tc>
          <w:tcPr>
            <w:tcW w:w="3515" w:type="dxa"/>
            <w:vAlign w:val="center"/>
          </w:tcPr>
          <w:p w14:paraId="23B0445C">
            <w:pPr>
              <w:pStyle w:val="25"/>
              <w:spacing w:before="20" w:after="20"/>
              <w:jc w:val="center"/>
            </w:pPr>
            <w:r>
              <w:rPr>
                <w:sz w:val="19"/>
              </w:rPr>
              <w:t>刚性悬挂吊柱顶板底面螺母缺失</w:t>
            </w:r>
          </w:p>
        </w:tc>
        <w:tc>
          <w:tcPr>
            <w:tcW w:w="1701" w:type="dxa"/>
            <w:vAlign w:val="center"/>
          </w:tcPr>
          <w:p w14:paraId="3E21D674">
            <w:pPr>
              <w:pStyle w:val="25"/>
              <w:spacing w:before="20" w:after="20"/>
              <w:jc w:val="center"/>
            </w:pPr>
            <w:r>
              <w:rPr>
                <w:sz w:val="19"/>
              </w:rPr>
              <w:t>刚性接触网</w:t>
            </w:r>
          </w:p>
        </w:tc>
        <w:tc>
          <w:tcPr>
            <w:tcW w:w="1247" w:type="dxa"/>
            <w:vAlign w:val="center"/>
          </w:tcPr>
          <w:p w14:paraId="138368A9">
            <w:pPr>
              <w:pStyle w:val="25"/>
              <w:spacing w:before="20" w:after="20"/>
              <w:jc w:val="center"/>
            </w:pPr>
            <w:r>
              <w:rPr>
                <w:sz w:val="19"/>
              </w:rPr>
              <w:t>严重</w:t>
            </w:r>
          </w:p>
        </w:tc>
      </w:tr>
      <w:tr w14:paraId="24B9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06761E8">
            <w:pPr>
              <w:pStyle w:val="25"/>
              <w:spacing w:before="20" w:after="20"/>
              <w:jc w:val="center"/>
            </w:pPr>
            <w:r>
              <w:rPr>
                <w:sz w:val="19"/>
              </w:rPr>
              <w:t>6</w:t>
            </w:r>
          </w:p>
        </w:tc>
        <w:tc>
          <w:tcPr>
            <w:tcW w:w="1474" w:type="dxa"/>
            <w:vAlign w:val="center"/>
          </w:tcPr>
          <w:p w14:paraId="325977F4">
            <w:pPr>
              <w:pStyle w:val="25"/>
              <w:spacing w:before="20" w:after="20"/>
              <w:jc w:val="center"/>
            </w:pPr>
            <w:r>
              <w:rPr>
                <w:sz w:val="19"/>
              </w:rPr>
              <w:t>RHTBNL</w:t>
            </w:r>
          </w:p>
        </w:tc>
        <w:tc>
          <w:tcPr>
            <w:tcW w:w="3515" w:type="dxa"/>
            <w:vAlign w:val="center"/>
          </w:tcPr>
          <w:p w14:paraId="0A4D91AF">
            <w:pPr>
              <w:pStyle w:val="25"/>
              <w:spacing w:before="20" w:after="20"/>
              <w:jc w:val="center"/>
            </w:pPr>
            <w:r>
              <w:rPr>
                <w:sz w:val="19"/>
              </w:rPr>
              <w:t>刚性悬挂吊柱顶板底面螺母松动</w:t>
            </w:r>
          </w:p>
        </w:tc>
        <w:tc>
          <w:tcPr>
            <w:tcW w:w="1701" w:type="dxa"/>
            <w:vAlign w:val="center"/>
          </w:tcPr>
          <w:p w14:paraId="0CA5166E">
            <w:pPr>
              <w:pStyle w:val="25"/>
              <w:spacing w:before="20" w:after="20"/>
              <w:jc w:val="center"/>
            </w:pPr>
            <w:r>
              <w:rPr>
                <w:sz w:val="19"/>
              </w:rPr>
              <w:t>刚性接触网</w:t>
            </w:r>
          </w:p>
        </w:tc>
        <w:tc>
          <w:tcPr>
            <w:tcW w:w="1247" w:type="dxa"/>
            <w:vAlign w:val="center"/>
          </w:tcPr>
          <w:p w14:paraId="0E6DB5FB">
            <w:pPr>
              <w:pStyle w:val="25"/>
              <w:spacing w:before="20" w:after="20"/>
              <w:jc w:val="center"/>
            </w:pPr>
            <w:r>
              <w:rPr>
                <w:sz w:val="19"/>
              </w:rPr>
              <w:t>严重</w:t>
            </w:r>
          </w:p>
        </w:tc>
      </w:tr>
      <w:tr w14:paraId="11521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9B28CC0">
            <w:pPr>
              <w:pStyle w:val="25"/>
              <w:spacing w:before="20" w:after="20"/>
              <w:jc w:val="center"/>
            </w:pPr>
            <w:r>
              <w:rPr>
                <w:sz w:val="19"/>
              </w:rPr>
              <w:t>7</w:t>
            </w:r>
          </w:p>
        </w:tc>
        <w:tc>
          <w:tcPr>
            <w:tcW w:w="1474" w:type="dxa"/>
            <w:vAlign w:val="center"/>
          </w:tcPr>
          <w:p w14:paraId="1DA6FFA8">
            <w:pPr>
              <w:pStyle w:val="25"/>
              <w:spacing w:before="20" w:after="20"/>
              <w:jc w:val="center"/>
            </w:pPr>
            <w:r>
              <w:rPr>
                <w:sz w:val="19"/>
              </w:rPr>
              <w:t>GWCSBNM</w:t>
            </w:r>
          </w:p>
        </w:tc>
        <w:tc>
          <w:tcPr>
            <w:tcW w:w="3515" w:type="dxa"/>
            <w:vAlign w:val="center"/>
          </w:tcPr>
          <w:p w14:paraId="3EBEE3DC">
            <w:pPr>
              <w:pStyle w:val="25"/>
              <w:spacing w:before="20" w:after="20"/>
              <w:jc w:val="center"/>
            </w:pPr>
            <w:r>
              <w:rPr>
                <w:sz w:val="19"/>
              </w:rPr>
              <w:t>地线线夹托板安装底座螺母缺失</w:t>
            </w:r>
          </w:p>
        </w:tc>
        <w:tc>
          <w:tcPr>
            <w:tcW w:w="1701" w:type="dxa"/>
            <w:vAlign w:val="center"/>
          </w:tcPr>
          <w:p w14:paraId="36B37BBD">
            <w:pPr>
              <w:pStyle w:val="25"/>
              <w:spacing w:before="20" w:after="20"/>
              <w:jc w:val="center"/>
            </w:pPr>
            <w:r>
              <w:rPr>
                <w:sz w:val="19"/>
              </w:rPr>
              <w:t>刚性接触网</w:t>
            </w:r>
          </w:p>
        </w:tc>
        <w:tc>
          <w:tcPr>
            <w:tcW w:w="1247" w:type="dxa"/>
            <w:vAlign w:val="center"/>
          </w:tcPr>
          <w:p w14:paraId="2985FDE9">
            <w:pPr>
              <w:pStyle w:val="25"/>
              <w:spacing w:before="20" w:after="20"/>
              <w:jc w:val="center"/>
            </w:pPr>
            <w:r>
              <w:rPr>
                <w:sz w:val="19"/>
              </w:rPr>
              <w:t>严重</w:t>
            </w:r>
          </w:p>
        </w:tc>
      </w:tr>
      <w:tr w14:paraId="00C72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6C356A1">
            <w:pPr>
              <w:pStyle w:val="25"/>
              <w:spacing w:before="20" w:after="20"/>
              <w:jc w:val="center"/>
            </w:pPr>
            <w:r>
              <w:rPr>
                <w:sz w:val="19"/>
              </w:rPr>
              <w:t>8</w:t>
            </w:r>
          </w:p>
        </w:tc>
        <w:tc>
          <w:tcPr>
            <w:tcW w:w="1474" w:type="dxa"/>
            <w:vAlign w:val="center"/>
          </w:tcPr>
          <w:p w14:paraId="1415A49A">
            <w:pPr>
              <w:pStyle w:val="25"/>
              <w:spacing w:before="20" w:after="20"/>
              <w:jc w:val="center"/>
            </w:pPr>
            <w:r>
              <w:rPr>
                <w:sz w:val="19"/>
              </w:rPr>
              <w:t>GWCSBNL</w:t>
            </w:r>
          </w:p>
        </w:tc>
        <w:tc>
          <w:tcPr>
            <w:tcW w:w="3515" w:type="dxa"/>
            <w:vAlign w:val="center"/>
          </w:tcPr>
          <w:p w14:paraId="6D8CCB1D">
            <w:pPr>
              <w:pStyle w:val="25"/>
              <w:spacing w:before="20" w:after="20"/>
              <w:jc w:val="center"/>
            </w:pPr>
            <w:r>
              <w:rPr>
                <w:sz w:val="19"/>
              </w:rPr>
              <w:t>地线线夹托板安装底座螺母松动</w:t>
            </w:r>
          </w:p>
        </w:tc>
        <w:tc>
          <w:tcPr>
            <w:tcW w:w="1701" w:type="dxa"/>
            <w:vAlign w:val="center"/>
          </w:tcPr>
          <w:p w14:paraId="54861A45">
            <w:pPr>
              <w:pStyle w:val="25"/>
              <w:spacing w:before="20" w:after="20"/>
              <w:jc w:val="center"/>
            </w:pPr>
            <w:r>
              <w:rPr>
                <w:sz w:val="19"/>
              </w:rPr>
              <w:t>刚性接触网</w:t>
            </w:r>
          </w:p>
        </w:tc>
        <w:tc>
          <w:tcPr>
            <w:tcW w:w="1247" w:type="dxa"/>
            <w:vAlign w:val="center"/>
          </w:tcPr>
          <w:p w14:paraId="40282E34">
            <w:pPr>
              <w:pStyle w:val="25"/>
              <w:spacing w:before="20" w:after="20"/>
              <w:jc w:val="center"/>
            </w:pPr>
            <w:r>
              <w:rPr>
                <w:sz w:val="19"/>
              </w:rPr>
              <w:t>严重</w:t>
            </w:r>
          </w:p>
        </w:tc>
      </w:tr>
      <w:tr w14:paraId="7169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52A8A31">
            <w:pPr>
              <w:pStyle w:val="25"/>
              <w:spacing w:before="20" w:after="20"/>
              <w:jc w:val="center"/>
            </w:pPr>
            <w:r>
              <w:rPr>
                <w:sz w:val="19"/>
              </w:rPr>
              <w:t>9</w:t>
            </w:r>
          </w:p>
        </w:tc>
        <w:tc>
          <w:tcPr>
            <w:tcW w:w="1474" w:type="dxa"/>
            <w:vAlign w:val="center"/>
          </w:tcPr>
          <w:p w14:paraId="43D43E5E">
            <w:pPr>
              <w:pStyle w:val="25"/>
              <w:spacing w:before="20" w:after="20"/>
              <w:jc w:val="center"/>
            </w:pPr>
            <w:r>
              <w:rPr>
                <w:sz w:val="19"/>
              </w:rPr>
              <w:t>GWCNM</w:t>
            </w:r>
          </w:p>
        </w:tc>
        <w:tc>
          <w:tcPr>
            <w:tcW w:w="3515" w:type="dxa"/>
            <w:vAlign w:val="center"/>
          </w:tcPr>
          <w:p w14:paraId="2F049B96">
            <w:pPr>
              <w:pStyle w:val="25"/>
              <w:spacing w:before="20" w:after="20"/>
              <w:jc w:val="center"/>
            </w:pPr>
            <w:r>
              <w:rPr>
                <w:sz w:val="19"/>
              </w:rPr>
              <w:t>地线线夹螺母缺失</w:t>
            </w:r>
          </w:p>
        </w:tc>
        <w:tc>
          <w:tcPr>
            <w:tcW w:w="1701" w:type="dxa"/>
            <w:vAlign w:val="center"/>
          </w:tcPr>
          <w:p w14:paraId="5ED2C655">
            <w:pPr>
              <w:pStyle w:val="25"/>
              <w:spacing w:before="20" w:after="20"/>
              <w:jc w:val="center"/>
            </w:pPr>
            <w:r>
              <w:rPr>
                <w:sz w:val="19"/>
              </w:rPr>
              <w:t>刚性接触网</w:t>
            </w:r>
          </w:p>
        </w:tc>
        <w:tc>
          <w:tcPr>
            <w:tcW w:w="1247" w:type="dxa"/>
            <w:vAlign w:val="center"/>
          </w:tcPr>
          <w:p w14:paraId="5DC2FF3C">
            <w:pPr>
              <w:pStyle w:val="25"/>
              <w:spacing w:before="20" w:after="20"/>
              <w:jc w:val="center"/>
            </w:pPr>
            <w:r>
              <w:rPr>
                <w:sz w:val="19"/>
              </w:rPr>
              <w:t>严重</w:t>
            </w:r>
          </w:p>
        </w:tc>
      </w:tr>
      <w:tr w14:paraId="1909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913FE06">
            <w:pPr>
              <w:pStyle w:val="25"/>
              <w:spacing w:before="20" w:after="20"/>
              <w:jc w:val="center"/>
            </w:pPr>
            <w:r>
              <w:rPr>
                <w:sz w:val="19"/>
              </w:rPr>
              <w:t>10</w:t>
            </w:r>
          </w:p>
        </w:tc>
        <w:tc>
          <w:tcPr>
            <w:tcW w:w="1474" w:type="dxa"/>
            <w:vAlign w:val="center"/>
          </w:tcPr>
          <w:p w14:paraId="5CC835B3">
            <w:pPr>
              <w:pStyle w:val="25"/>
              <w:spacing w:before="20" w:after="20"/>
              <w:jc w:val="center"/>
            </w:pPr>
            <w:r>
              <w:rPr>
                <w:sz w:val="19"/>
              </w:rPr>
              <w:t>GWCNL</w:t>
            </w:r>
          </w:p>
        </w:tc>
        <w:tc>
          <w:tcPr>
            <w:tcW w:w="3515" w:type="dxa"/>
            <w:vAlign w:val="center"/>
          </w:tcPr>
          <w:p w14:paraId="68275C6B">
            <w:pPr>
              <w:pStyle w:val="25"/>
              <w:spacing w:before="20" w:after="20"/>
              <w:jc w:val="center"/>
            </w:pPr>
            <w:r>
              <w:rPr>
                <w:sz w:val="19"/>
              </w:rPr>
              <w:t>地线线夹螺母松动</w:t>
            </w:r>
          </w:p>
        </w:tc>
        <w:tc>
          <w:tcPr>
            <w:tcW w:w="1701" w:type="dxa"/>
            <w:vAlign w:val="center"/>
          </w:tcPr>
          <w:p w14:paraId="2017C676">
            <w:pPr>
              <w:pStyle w:val="25"/>
              <w:spacing w:before="20" w:after="20"/>
              <w:jc w:val="center"/>
            </w:pPr>
            <w:r>
              <w:rPr>
                <w:sz w:val="19"/>
              </w:rPr>
              <w:t>刚性接触网</w:t>
            </w:r>
          </w:p>
        </w:tc>
        <w:tc>
          <w:tcPr>
            <w:tcW w:w="1247" w:type="dxa"/>
            <w:vAlign w:val="center"/>
          </w:tcPr>
          <w:p w14:paraId="1A2FB9FA">
            <w:pPr>
              <w:pStyle w:val="25"/>
              <w:spacing w:before="20" w:after="20"/>
              <w:jc w:val="center"/>
            </w:pPr>
            <w:r>
              <w:rPr>
                <w:sz w:val="19"/>
              </w:rPr>
              <w:t>严重</w:t>
            </w:r>
          </w:p>
        </w:tc>
      </w:tr>
      <w:tr w14:paraId="728A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048C73B">
            <w:pPr>
              <w:pStyle w:val="25"/>
              <w:spacing w:before="20" w:after="20"/>
              <w:jc w:val="center"/>
            </w:pPr>
            <w:r>
              <w:rPr>
                <w:sz w:val="19"/>
              </w:rPr>
              <w:t>11</w:t>
            </w:r>
          </w:p>
        </w:tc>
        <w:tc>
          <w:tcPr>
            <w:tcW w:w="1474" w:type="dxa"/>
            <w:vAlign w:val="center"/>
          </w:tcPr>
          <w:p w14:paraId="35CA9A8C">
            <w:pPr>
              <w:pStyle w:val="25"/>
              <w:spacing w:before="20" w:after="20"/>
              <w:jc w:val="center"/>
            </w:pPr>
            <w:r>
              <w:rPr>
                <w:sz w:val="19"/>
              </w:rPr>
              <w:t>BSBM</w:t>
            </w:r>
          </w:p>
        </w:tc>
        <w:tc>
          <w:tcPr>
            <w:tcW w:w="3515" w:type="dxa"/>
            <w:vAlign w:val="center"/>
          </w:tcPr>
          <w:p w14:paraId="65102576">
            <w:pPr>
              <w:pStyle w:val="25"/>
              <w:spacing w:before="20" w:after="20"/>
              <w:jc w:val="center"/>
            </w:pPr>
            <w:r>
              <w:rPr>
                <w:sz w:val="19"/>
              </w:rPr>
              <w:t>汇流排中间接头螺栓缺失</w:t>
            </w:r>
          </w:p>
        </w:tc>
        <w:tc>
          <w:tcPr>
            <w:tcW w:w="1701" w:type="dxa"/>
            <w:vAlign w:val="center"/>
          </w:tcPr>
          <w:p w14:paraId="3834E309">
            <w:pPr>
              <w:pStyle w:val="25"/>
              <w:spacing w:before="20" w:after="20"/>
              <w:jc w:val="center"/>
            </w:pPr>
            <w:r>
              <w:rPr>
                <w:sz w:val="19"/>
              </w:rPr>
              <w:t>刚性接触网</w:t>
            </w:r>
          </w:p>
        </w:tc>
        <w:tc>
          <w:tcPr>
            <w:tcW w:w="1247" w:type="dxa"/>
            <w:vAlign w:val="center"/>
          </w:tcPr>
          <w:p w14:paraId="6DA6052F">
            <w:pPr>
              <w:pStyle w:val="25"/>
              <w:spacing w:before="20" w:after="20"/>
              <w:jc w:val="center"/>
            </w:pPr>
            <w:r>
              <w:rPr>
                <w:sz w:val="19"/>
              </w:rPr>
              <w:t>危急</w:t>
            </w:r>
          </w:p>
        </w:tc>
      </w:tr>
      <w:tr w14:paraId="7841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8262EC2">
            <w:pPr>
              <w:pStyle w:val="25"/>
              <w:spacing w:before="20" w:after="20"/>
              <w:jc w:val="center"/>
            </w:pPr>
            <w:r>
              <w:rPr>
                <w:sz w:val="19"/>
              </w:rPr>
              <w:t>12</w:t>
            </w:r>
          </w:p>
        </w:tc>
        <w:tc>
          <w:tcPr>
            <w:tcW w:w="1474" w:type="dxa"/>
            <w:vAlign w:val="center"/>
          </w:tcPr>
          <w:p w14:paraId="1E4C1AA9">
            <w:pPr>
              <w:pStyle w:val="25"/>
              <w:spacing w:before="20" w:after="20"/>
              <w:jc w:val="center"/>
            </w:pPr>
            <w:r>
              <w:rPr>
                <w:sz w:val="19"/>
              </w:rPr>
              <w:t>INSD</w:t>
            </w:r>
          </w:p>
        </w:tc>
        <w:tc>
          <w:tcPr>
            <w:tcW w:w="3515" w:type="dxa"/>
            <w:vAlign w:val="center"/>
          </w:tcPr>
          <w:p w14:paraId="089BB359">
            <w:pPr>
              <w:pStyle w:val="25"/>
              <w:spacing w:before="20" w:after="20"/>
              <w:jc w:val="center"/>
            </w:pPr>
            <w:r>
              <w:rPr>
                <w:sz w:val="19"/>
              </w:rPr>
              <w:t>绝缘子破损</w:t>
            </w:r>
          </w:p>
        </w:tc>
        <w:tc>
          <w:tcPr>
            <w:tcW w:w="1701" w:type="dxa"/>
            <w:vAlign w:val="center"/>
          </w:tcPr>
          <w:p w14:paraId="6A44246E">
            <w:pPr>
              <w:pStyle w:val="25"/>
              <w:spacing w:before="20" w:after="20"/>
              <w:jc w:val="center"/>
            </w:pPr>
            <w:r>
              <w:rPr>
                <w:sz w:val="19"/>
              </w:rPr>
              <w:t>刚性接触网</w:t>
            </w:r>
          </w:p>
        </w:tc>
        <w:tc>
          <w:tcPr>
            <w:tcW w:w="1247" w:type="dxa"/>
            <w:vAlign w:val="center"/>
          </w:tcPr>
          <w:p w14:paraId="79465BC9">
            <w:pPr>
              <w:pStyle w:val="25"/>
              <w:spacing w:before="20" w:after="20"/>
              <w:jc w:val="center"/>
            </w:pPr>
            <w:r>
              <w:rPr>
                <w:sz w:val="19"/>
              </w:rPr>
              <w:t>危急</w:t>
            </w:r>
          </w:p>
        </w:tc>
      </w:tr>
      <w:tr w14:paraId="0C73E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D85F29D">
            <w:pPr>
              <w:pStyle w:val="25"/>
              <w:spacing w:before="20" w:after="20"/>
              <w:jc w:val="center"/>
            </w:pPr>
            <w:r>
              <w:rPr>
                <w:sz w:val="19"/>
              </w:rPr>
              <w:t>13</w:t>
            </w:r>
          </w:p>
        </w:tc>
        <w:tc>
          <w:tcPr>
            <w:tcW w:w="1474" w:type="dxa"/>
            <w:vAlign w:val="center"/>
          </w:tcPr>
          <w:p w14:paraId="29417A99">
            <w:pPr>
              <w:pStyle w:val="25"/>
              <w:spacing w:before="20" w:after="20"/>
              <w:jc w:val="center"/>
            </w:pPr>
            <w:r>
              <w:rPr>
                <w:sz w:val="19"/>
              </w:rPr>
              <w:t>CBHPM</w:t>
            </w:r>
          </w:p>
        </w:tc>
        <w:tc>
          <w:tcPr>
            <w:tcW w:w="3515" w:type="dxa"/>
            <w:vAlign w:val="center"/>
          </w:tcPr>
          <w:p w14:paraId="5F4EB448">
            <w:pPr>
              <w:pStyle w:val="25"/>
              <w:spacing w:before="20" w:after="20"/>
              <w:jc w:val="center"/>
            </w:pPr>
            <w:r>
              <w:rPr>
                <w:sz w:val="19"/>
              </w:rPr>
              <w:t>腕臂底座横向销钉缺开口销</w:t>
            </w:r>
          </w:p>
        </w:tc>
        <w:tc>
          <w:tcPr>
            <w:tcW w:w="1701" w:type="dxa"/>
            <w:vAlign w:val="center"/>
          </w:tcPr>
          <w:p w14:paraId="67FA00C2">
            <w:pPr>
              <w:pStyle w:val="25"/>
              <w:spacing w:before="20" w:after="20"/>
              <w:jc w:val="center"/>
            </w:pPr>
            <w:r>
              <w:rPr>
                <w:sz w:val="19"/>
              </w:rPr>
              <w:t>柔性接触网</w:t>
            </w:r>
          </w:p>
        </w:tc>
        <w:tc>
          <w:tcPr>
            <w:tcW w:w="1247" w:type="dxa"/>
            <w:vAlign w:val="center"/>
          </w:tcPr>
          <w:p w14:paraId="4E6CF8E3">
            <w:pPr>
              <w:pStyle w:val="25"/>
              <w:spacing w:before="20" w:after="20"/>
              <w:jc w:val="center"/>
            </w:pPr>
            <w:r>
              <w:rPr>
                <w:sz w:val="19"/>
              </w:rPr>
              <w:t>严重</w:t>
            </w:r>
          </w:p>
        </w:tc>
      </w:tr>
      <w:tr w14:paraId="1ADA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D924BCA">
            <w:pPr>
              <w:pStyle w:val="25"/>
              <w:spacing w:before="20" w:after="20"/>
              <w:jc w:val="center"/>
            </w:pPr>
            <w:r>
              <w:rPr>
                <w:sz w:val="19"/>
              </w:rPr>
              <w:t>14</w:t>
            </w:r>
          </w:p>
        </w:tc>
        <w:tc>
          <w:tcPr>
            <w:tcW w:w="1474" w:type="dxa"/>
            <w:vAlign w:val="center"/>
          </w:tcPr>
          <w:p w14:paraId="0615EF01">
            <w:pPr>
              <w:pStyle w:val="25"/>
              <w:spacing w:before="20" w:after="20"/>
              <w:jc w:val="center"/>
            </w:pPr>
            <w:r>
              <w:rPr>
                <w:sz w:val="19"/>
              </w:rPr>
              <w:t>CBVPM</w:t>
            </w:r>
          </w:p>
        </w:tc>
        <w:tc>
          <w:tcPr>
            <w:tcW w:w="3515" w:type="dxa"/>
            <w:vAlign w:val="center"/>
          </w:tcPr>
          <w:p w14:paraId="608D8CE5">
            <w:pPr>
              <w:pStyle w:val="25"/>
              <w:spacing w:before="20" w:after="20"/>
              <w:jc w:val="center"/>
            </w:pPr>
            <w:r>
              <w:rPr>
                <w:sz w:val="19"/>
              </w:rPr>
              <w:t>腕臂底座垂直销钉缺开口销</w:t>
            </w:r>
          </w:p>
        </w:tc>
        <w:tc>
          <w:tcPr>
            <w:tcW w:w="1701" w:type="dxa"/>
            <w:vAlign w:val="center"/>
          </w:tcPr>
          <w:p w14:paraId="3CE48DF0">
            <w:pPr>
              <w:pStyle w:val="25"/>
              <w:spacing w:before="20" w:after="20"/>
              <w:jc w:val="center"/>
            </w:pPr>
            <w:r>
              <w:rPr>
                <w:sz w:val="19"/>
              </w:rPr>
              <w:t>柔性接触网</w:t>
            </w:r>
          </w:p>
        </w:tc>
        <w:tc>
          <w:tcPr>
            <w:tcW w:w="1247" w:type="dxa"/>
            <w:vAlign w:val="center"/>
          </w:tcPr>
          <w:p w14:paraId="202D037A">
            <w:pPr>
              <w:pStyle w:val="25"/>
              <w:spacing w:before="20" w:after="20"/>
              <w:jc w:val="center"/>
            </w:pPr>
            <w:r>
              <w:rPr>
                <w:sz w:val="19"/>
              </w:rPr>
              <w:t>严重</w:t>
            </w:r>
          </w:p>
        </w:tc>
      </w:tr>
      <w:tr w14:paraId="5F1F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66AAF0C">
            <w:pPr>
              <w:pStyle w:val="25"/>
              <w:spacing w:before="20" w:after="20"/>
              <w:jc w:val="center"/>
            </w:pPr>
            <w:r>
              <w:rPr>
                <w:sz w:val="19"/>
              </w:rPr>
              <w:t>15</w:t>
            </w:r>
          </w:p>
        </w:tc>
        <w:tc>
          <w:tcPr>
            <w:tcW w:w="1474" w:type="dxa"/>
            <w:vAlign w:val="center"/>
          </w:tcPr>
          <w:p w14:paraId="56DACB53">
            <w:pPr>
              <w:pStyle w:val="25"/>
              <w:spacing w:before="20" w:after="20"/>
              <w:jc w:val="center"/>
            </w:pPr>
            <w:r>
              <w:rPr>
                <w:sz w:val="19"/>
              </w:rPr>
              <w:t>DRPS</w:t>
            </w:r>
          </w:p>
        </w:tc>
        <w:tc>
          <w:tcPr>
            <w:tcW w:w="3515" w:type="dxa"/>
            <w:vAlign w:val="center"/>
          </w:tcPr>
          <w:p w14:paraId="7A5FB04C">
            <w:pPr>
              <w:pStyle w:val="25"/>
              <w:spacing w:before="20" w:after="20"/>
              <w:jc w:val="center"/>
            </w:pPr>
            <w:r>
              <w:rPr>
                <w:sz w:val="19"/>
              </w:rPr>
              <w:t>吊弦不受力</w:t>
            </w:r>
          </w:p>
        </w:tc>
        <w:tc>
          <w:tcPr>
            <w:tcW w:w="1701" w:type="dxa"/>
            <w:vAlign w:val="center"/>
          </w:tcPr>
          <w:p w14:paraId="346150B7">
            <w:pPr>
              <w:pStyle w:val="25"/>
              <w:spacing w:before="20" w:after="20"/>
              <w:jc w:val="center"/>
            </w:pPr>
            <w:r>
              <w:rPr>
                <w:sz w:val="19"/>
              </w:rPr>
              <w:t>柔性接触网</w:t>
            </w:r>
          </w:p>
        </w:tc>
        <w:tc>
          <w:tcPr>
            <w:tcW w:w="1247" w:type="dxa"/>
            <w:vAlign w:val="center"/>
          </w:tcPr>
          <w:p w14:paraId="0390DB08">
            <w:pPr>
              <w:pStyle w:val="25"/>
              <w:spacing w:before="20" w:after="20"/>
              <w:jc w:val="center"/>
            </w:pPr>
            <w:r>
              <w:rPr>
                <w:sz w:val="19"/>
              </w:rPr>
              <w:t>严重</w:t>
            </w:r>
          </w:p>
        </w:tc>
      </w:tr>
    </w:tbl>
    <w:p w14:paraId="2C080FBB">
      <w:pPr>
        <w:spacing w:after="40" w:line="240" w:lineRule="auto"/>
      </w:pPr>
    </w:p>
    <w:p w14:paraId="50940942">
      <w:pPr>
        <w:pStyle w:val="4"/>
        <w:spacing w:before="200" w:after="120" w:line="312" w:lineRule="auto"/>
      </w:pPr>
      <w:r>
        <w:rPr>
          <w:rFonts w:eastAsia="黑体"/>
        </w:rPr>
        <w:t>3．标注规范与质量控制</w:t>
      </w:r>
    </w:p>
    <w:p w14:paraId="126AB11E">
      <w:pPr>
        <w:spacing w:after="0" w:line="360" w:lineRule="auto"/>
        <w:ind w:firstLine="480" w:firstLineChars="200"/>
      </w:pPr>
      <w:r>
        <w:t>（1）拍摄执行既有质量控制规范：缺陷区域保证足够像素量、统一画幅与白平衡、规范化文件命名；</w:t>
      </w:r>
    </w:p>
    <w:p w14:paraId="5DAF6A23">
      <w:pPr>
        <w:spacing w:after="0" w:line="360" w:lineRule="auto"/>
        <w:ind w:firstLine="480" w:firstLineChars="200"/>
      </w:pPr>
      <w:r>
        <w:t>（2）标注框紧贴缺陷边缘并留适度余量；“松动”类缺陷标注完整螺母副区域；同一构件多处缺陷逐一分框；</w:t>
      </w:r>
    </w:p>
    <w:p w14:paraId="124057A5">
      <w:pPr>
        <w:spacing w:after="0" w:line="360" w:lineRule="auto"/>
        <w:ind w:firstLine="480" w:firstLineChars="200"/>
      </w:pPr>
      <w:r>
        <w:t>（3）实行双人独立标注＋第三方仲裁，尾部类别与新增类别 100% 复核，其余类别不低于 30% 抽检；标注完成后经自动化脚本校验类别编码合法性、标注框越界、空标注与重复框；</w:t>
      </w:r>
    </w:p>
    <w:p w14:paraId="6841A182">
      <w:pPr>
        <w:spacing w:after="0" w:line="360" w:lineRule="auto"/>
        <w:ind w:firstLine="480" w:firstLineChars="200"/>
      </w:pPr>
      <w:r>
        <w:t>（4）标注启动前依据缺陷类型详解对 16 类缺陷形态定义进行统一培训，重点纠正垂直悬吊装置、地线线夹等前期理解有误的构件认知。</w:t>
      </w:r>
    </w:p>
    <w:p w14:paraId="244A9C5C">
      <w:pPr>
        <w:pStyle w:val="4"/>
        <w:spacing w:before="200" w:after="120" w:line="312" w:lineRule="auto"/>
      </w:pPr>
      <w:r>
        <w:rPr>
          <w:rFonts w:eastAsia="黑体"/>
        </w:rPr>
        <w:t>4．类别数量均衡</w:t>
      </w:r>
    </w:p>
    <w:p w14:paraId="6B3D3FFB">
      <w:pPr>
        <w:spacing w:after="0" w:line="360" w:lineRule="auto"/>
        <w:ind w:firstLine="480" w:firstLineChars="200"/>
      </w:pPr>
      <w:r>
        <w:t>以“单类别实例不少于 250 个（多数类别达到 300 以上）、实例总量不少于 5000 个、最大/最小类别比不超过 2.5:1”为均衡目标，各类别当前样本量与重构目标见表 2-2 与图 2-1。</w:t>
      </w:r>
    </w:p>
    <w:p w14:paraId="202F7857">
      <w:pPr>
        <w:pStyle w:val="11"/>
        <w:spacing w:before="80" w:after="80"/>
      </w:pPr>
      <w:r>
        <w:t>表 2-2　重构后类别样本目标（单位：实例）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1384"/>
        <w:gridCol w:w="1384"/>
        <w:gridCol w:w="1384"/>
        <w:gridCol w:w="1384"/>
        <w:gridCol w:w="1384"/>
      </w:tblGrid>
      <w:tr w14:paraId="520E0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D9E2F3"/>
            <w:vAlign w:val="center"/>
          </w:tcPr>
          <w:p w14:paraId="662B3B37">
            <w:pPr>
              <w:pStyle w:val="25"/>
              <w:spacing w:before="20" w:after="20"/>
              <w:jc w:val="center"/>
            </w:pPr>
            <w:r>
              <w:rPr>
                <w:b/>
                <w:sz w:val="19"/>
              </w:rPr>
              <w:t>类别</w:t>
            </w:r>
          </w:p>
        </w:tc>
        <w:tc>
          <w:tcPr>
            <w:tcW w:w="850" w:type="dxa"/>
            <w:shd w:val="clear" w:color="auto" w:fill="D9E2F3"/>
            <w:vAlign w:val="center"/>
          </w:tcPr>
          <w:p w14:paraId="577F279A">
            <w:pPr>
              <w:pStyle w:val="25"/>
              <w:spacing w:before="20" w:after="20"/>
              <w:jc w:val="center"/>
            </w:pPr>
            <w:r>
              <w:rPr>
                <w:b/>
                <w:sz w:val="19"/>
              </w:rPr>
              <w:t>当前</w:t>
            </w:r>
          </w:p>
        </w:tc>
        <w:tc>
          <w:tcPr>
            <w:tcW w:w="850" w:type="dxa"/>
            <w:shd w:val="clear" w:color="auto" w:fill="D9E2F3"/>
            <w:vAlign w:val="center"/>
          </w:tcPr>
          <w:p w14:paraId="7856E35B">
            <w:pPr>
              <w:pStyle w:val="25"/>
              <w:spacing w:before="20" w:after="20"/>
              <w:jc w:val="center"/>
            </w:pPr>
            <w:r>
              <w:rPr>
                <w:b/>
                <w:sz w:val="19"/>
              </w:rPr>
              <w:t>目标</w:t>
            </w:r>
          </w:p>
        </w:tc>
        <w:tc>
          <w:tcPr>
            <w:tcW w:w="2494" w:type="dxa"/>
            <w:shd w:val="clear" w:color="auto" w:fill="D9E2F3"/>
            <w:vAlign w:val="center"/>
          </w:tcPr>
          <w:p w14:paraId="05FBE82B">
            <w:pPr>
              <w:pStyle w:val="25"/>
              <w:spacing w:before="20" w:after="20"/>
              <w:jc w:val="center"/>
            </w:pPr>
            <w:r>
              <w:rPr>
                <w:b/>
                <w:sz w:val="19"/>
              </w:rPr>
              <w:t>类别</w:t>
            </w:r>
          </w:p>
        </w:tc>
        <w:tc>
          <w:tcPr>
            <w:tcW w:w="850" w:type="dxa"/>
            <w:shd w:val="clear" w:color="auto" w:fill="D9E2F3"/>
            <w:vAlign w:val="center"/>
          </w:tcPr>
          <w:p w14:paraId="60D10001">
            <w:pPr>
              <w:pStyle w:val="25"/>
              <w:spacing w:before="20" w:after="20"/>
              <w:jc w:val="center"/>
            </w:pPr>
            <w:r>
              <w:rPr>
                <w:b/>
                <w:sz w:val="19"/>
              </w:rPr>
              <w:t>当前</w:t>
            </w:r>
          </w:p>
        </w:tc>
        <w:tc>
          <w:tcPr>
            <w:tcW w:w="850" w:type="dxa"/>
            <w:shd w:val="clear" w:color="auto" w:fill="D9E2F3"/>
            <w:vAlign w:val="center"/>
          </w:tcPr>
          <w:p w14:paraId="6C145695">
            <w:pPr>
              <w:pStyle w:val="25"/>
              <w:spacing w:before="20" w:after="20"/>
              <w:jc w:val="center"/>
            </w:pPr>
            <w:r>
              <w:rPr>
                <w:b/>
                <w:sz w:val="19"/>
              </w:rPr>
              <w:t>目标</w:t>
            </w:r>
          </w:p>
        </w:tc>
      </w:tr>
      <w:tr w14:paraId="4BCE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23355B48">
            <w:pPr>
              <w:pStyle w:val="25"/>
              <w:spacing w:before="20" w:after="20"/>
              <w:jc w:val="left"/>
            </w:pPr>
            <w:r>
              <w:rPr>
                <w:sz w:val="19"/>
              </w:rPr>
              <w:t>VHBNM 垂直悬吊底座螺母缺失</w:t>
            </w:r>
          </w:p>
        </w:tc>
        <w:tc>
          <w:tcPr>
            <w:tcW w:w="850" w:type="dxa"/>
            <w:vAlign w:val="center"/>
          </w:tcPr>
          <w:p w14:paraId="61C280AE">
            <w:pPr>
              <w:pStyle w:val="25"/>
              <w:spacing w:before="20" w:after="20"/>
              <w:jc w:val="center"/>
            </w:pPr>
            <w:r>
              <w:rPr>
                <w:sz w:val="19"/>
              </w:rPr>
              <w:t>328</w:t>
            </w:r>
          </w:p>
        </w:tc>
        <w:tc>
          <w:tcPr>
            <w:tcW w:w="850" w:type="dxa"/>
            <w:vAlign w:val="center"/>
          </w:tcPr>
          <w:p w14:paraId="0B174319">
            <w:pPr>
              <w:pStyle w:val="25"/>
              <w:spacing w:before="20" w:after="20"/>
              <w:jc w:val="center"/>
            </w:pPr>
            <w:r>
              <w:rPr>
                <w:sz w:val="19"/>
              </w:rPr>
              <w:t>400</w:t>
            </w:r>
          </w:p>
        </w:tc>
        <w:tc>
          <w:tcPr>
            <w:tcW w:w="2494" w:type="dxa"/>
            <w:vAlign w:val="center"/>
          </w:tcPr>
          <w:p w14:paraId="6322B770">
            <w:pPr>
              <w:pStyle w:val="25"/>
              <w:spacing w:before="20" w:after="20"/>
              <w:jc w:val="left"/>
            </w:pPr>
            <w:r>
              <w:rPr>
                <w:sz w:val="19"/>
              </w:rPr>
              <w:t>RHTBNM 吊柱顶板底面螺母缺失</w:t>
            </w:r>
          </w:p>
        </w:tc>
        <w:tc>
          <w:tcPr>
            <w:tcW w:w="850" w:type="dxa"/>
            <w:vAlign w:val="center"/>
          </w:tcPr>
          <w:p w14:paraId="1151CC1C">
            <w:pPr>
              <w:pStyle w:val="25"/>
              <w:spacing w:before="20" w:after="20"/>
              <w:jc w:val="center"/>
            </w:pPr>
            <w:r>
              <w:rPr>
                <w:sz w:val="19"/>
              </w:rPr>
              <w:t>67</w:t>
            </w:r>
          </w:p>
        </w:tc>
        <w:tc>
          <w:tcPr>
            <w:tcW w:w="850" w:type="dxa"/>
            <w:vAlign w:val="center"/>
          </w:tcPr>
          <w:p w14:paraId="1FB13941">
            <w:pPr>
              <w:pStyle w:val="25"/>
              <w:spacing w:before="20" w:after="20"/>
              <w:jc w:val="center"/>
            </w:pPr>
            <w:r>
              <w:rPr>
                <w:sz w:val="19"/>
              </w:rPr>
              <w:t>300</w:t>
            </w:r>
          </w:p>
        </w:tc>
      </w:tr>
      <w:tr w14:paraId="30A0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427C891A">
            <w:pPr>
              <w:pStyle w:val="25"/>
              <w:spacing w:before="20" w:after="20"/>
              <w:jc w:val="left"/>
            </w:pPr>
            <w:r>
              <w:rPr>
                <w:sz w:val="19"/>
              </w:rPr>
              <w:t>VHBNL 垂直悬吊底座螺母松动</w:t>
            </w:r>
          </w:p>
        </w:tc>
        <w:tc>
          <w:tcPr>
            <w:tcW w:w="850" w:type="dxa"/>
            <w:vAlign w:val="center"/>
          </w:tcPr>
          <w:p w14:paraId="58CA55F4">
            <w:pPr>
              <w:pStyle w:val="25"/>
              <w:spacing w:before="20" w:after="20"/>
              <w:jc w:val="center"/>
            </w:pPr>
            <w:r>
              <w:rPr>
                <w:sz w:val="19"/>
              </w:rPr>
              <w:t>128</w:t>
            </w:r>
          </w:p>
        </w:tc>
        <w:tc>
          <w:tcPr>
            <w:tcW w:w="850" w:type="dxa"/>
            <w:vAlign w:val="center"/>
          </w:tcPr>
          <w:p w14:paraId="29D68A1D">
            <w:pPr>
              <w:pStyle w:val="25"/>
              <w:spacing w:before="20" w:after="20"/>
              <w:jc w:val="center"/>
            </w:pPr>
            <w:r>
              <w:rPr>
                <w:sz w:val="19"/>
              </w:rPr>
              <w:t>320</w:t>
            </w:r>
          </w:p>
        </w:tc>
        <w:tc>
          <w:tcPr>
            <w:tcW w:w="2494" w:type="dxa"/>
            <w:vAlign w:val="center"/>
          </w:tcPr>
          <w:p w14:paraId="6B98F1C6">
            <w:pPr>
              <w:pStyle w:val="25"/>
              <w:spacing w:before="20" w:after="20"/>
              <w:jc w:val="left"/>
            </w:pPr>
            <w:r>
              <w:rPr>
                <w:sz w:val="19"/>
              </w:rPr>
              <w:t>RHTBNL 吊柱顶板底面螺母松动</w:t>
            </w:r>
          </w:p>
        </w:tc>
        <w:tc>
          <w:tcPr>
            <w:tcW w:w="850" w:type="dxa"/>
            <w:vAlign w:val="center"/>
          </w:tcPr>
          <w:p w14:paraId="6875E1C9">
            <w:pPr>
              <w:pStyle w:val="25"/>
              <w:spacing w:before="20" w:after="20"/>
              <w:jc w:val="center"/>
            </w:pPr>
            <w:r>
              <w:rPr>
                <w:sz w:val="19"/>
              </w:rPr>
              <w:t>51</w:t>
            </w:r>
          </w:p>
        </w:tc>
        <w:tc>
          <w:tcPr>
            <w:tcW w:w="850" w:type="dxa"/>
            <w:vAlign w:val="center"/>
          </w:tcPr>
          <w:p w14:paraId="24A5090E">
            <w:pPr>
              <w:pStyle w:val="25"/>
              <w:spacing w:before="20" w:after="20"/>
              <w:jc w:val="center"/>
            </w:pPr>
            <w:r>
              <w:rPr>
                <w:sz w:val="19"/>
              </w:rPr>
              <w:t>300</w:t>
            </w:r>
          </w:p>
        </w:tc>
      </w:tr>
      <w:tr w14:paraId="29B70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4041B51C">
            <w:pPr>
              <w:pStyle w:val="25"/>
              <w:spacing w:before="20" w:after="20"/>
              <w:jc w:val="left"/>
            </w:pPr>
            <w:r>
              <w:rPr>
                <w:sz w:val="19"/>
              </w:rPr>
              <w:t>SVHBNM 悬吊槽钢底座螺母缺失</w:t>
            </w:r>
          </w:p>
        </w:tc>
        <w:tc>
          <w:tcPr>
            <w:tcW w:w="850" w:type="dxa"/>
            <w:vAlign w:val="center"/>
          </w:tcPr>
          <w:p w14:paraId="257B4B98">
            <w:pPr>
              <w:pStyle w:val="25"/>
              <w:spacing w:before="20" w:after="20"/>
              <w:jc w:val="center"/>
            </w:pPr>
            <w:r>
              <w:rPr>
                <w:sz w:val="19"/>
              </w:rPr>
              <w:t>470</w:t>
            </w:r>
          </w:p>
        </w:tc>
        <w:tc>
          <w:tcPr>
            <w:tcW w:w="850" w:type="dxa"/>
            <w:vAlign w:val="center"/>
          </w:tcPr>
          <w:p w14:paraId="352CB371">
            <w:pPr>
              <w:pStyle w:val="25"/>
              <w:spacing w:before="20" w:after="20"/>
              <w:jc w:val="center"/>
            </w:pPr>
            <w:r>
              <w:rPr>
                <w:sz w:val="19"/>
              </w:rPr>
              <w:t>500</w:t>
            </w:r>
          </w:p>
        </w:tc>
        <w:tc>
          <w:tcPr>
            <w:tcW w:w="2494" w:type="dxa"/>
            <w:vAlign w:val="center"/>
          </w:tcPr>
          <w:p w14:paraId="125531F9">
            <w:pPr>
              <w:pStyle w:val="25"/>
              <w:spacing w:before="20" w:after="20"/>
              <w:jc w:val="left"/>
            </w:pPr>
            <w:r>
              <w:rPr>
                <w:sz w:val="19"/>
              </w:rPr>
              <w:t>GWCSBNM 地线线夹托板底座螺母缺失</w:t>
            </w:r>
          </w:p>
        </w:tc>
        <w:tc>
          <w:tcPr>
            <w:tcW w:w="850" w:type="dxa"/>
            <w:vAlign w:val="center"/>
          </w:tcPr>
          <w:p w14:paraId="0FCFAE9E">
            <w:pPr>
              <w:pStyle w:val="25"/>
              <w:spacing w:before="20" w:after="20"/>
              <w:jc w:val="center"/>
            </w:pPr>
            <w:r>
              <w:rPr>
                <w:sz w:val="19"/>
              </w:rPr>
              <w:t>0</w:t>
            </w:r>
          </w:p>
        </w:tc>
        <w:tc>
          <w:tcPr>
            <w:tcW w:w="850" w:type="dxa"/>
            <w:vAlign w:val="center"/>
          </w:tcPr>
          <w:p w14:paraId="094CF1CE">
            <w:pPr>
              <w:pStyle w:val="25"/>
              <w:spacing w:before="20" w:after="20"/>
              <w:jc w:val="center"/>
            </w:pPr>
            <w:r>
              <w:rPr>
                <w:sz w:val="19"/>
              </w:rPr>
              <w:t>300</w:t>
            </w:r>
          </w:p>
        </w:tc>
      </w:tr>
      <w:tr w14:paraId="1776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3A093A7C">
            <w:pPr>
              <w:pStyle w:val="25"/>
              <w:spacing w:before="20" w:after="20"/>
              <w:jc w:val="left"/>
            </w:pPr>
            <w:r>
              <w:rPr>
                <w:sz w:val="19"/>
              </w:rPr>
              <w:t>SVHBNL 悬吊槽钢底座螺母松动</w:t>
            </w:r>
          </w:p>
        </w:tc>
        <w:tc>
          <w:tcPr>
            <w:tcW w:w="850" w:type="dxa"/>
            <w:vAlign w:val="center"/>
          </w:tcPr>
          <w:p w14:paraId="748B595F">
            <w:pPr>
              <w:pStyle w:val="25"/>
              <w:spacing w:before="20" w:after="20"/>
              <w:jc w:val="center"/>
            </w:pPr>
            <w:r>
              <w:rPr>
                <w:sz w:val="19"/>
              </w:rPr>
              <w:t>109</w:t>
            </w:r>
          </w:p>
        </w:tc>
        <w:tc>
          <w:tcPr>
            <w:tcW w:w="850" w:type="dxa"/>
            <w:vAlign w:val="center"/>
          </w:tcPr>
          <w:p w14:paraId="4F8D9CAD">
            <w:pPr>
              <w:pStyle w:val="25"/>
              <w:spacing w:before="20" w:after="20"/>
              <w:jc w:val="center"/>
            </w:pPr>
            <w:r>
              <w:rPr>
                <w:sz w:val="19"/>
              </w:rPr>
              <w:t>300</w:t>
            </w:r>
          </w:p>
        </w:tc>
        <w:tc>
          <w:tcPr>
            <w:tcW w:w="2494" w:type="dxa"/>
            <w:vAlign w:val="center"/>
          </w:tcPr>
          <w:p w14:paraId="38DDF982">
            <w:pPr>
              <w:pStyle w:val="25"/>
              <w:spacing w:before="20" w:after="20"/>
              <w:jc w:val="left"/>
            </w:pPr>
            <w:r>
              <w:rPr>
                <w:sz w:val="19"/>
              </w:rPr>
              <w:t>GWCSBNL 地线线夹托板底座螺母松动</w:t>
            </w:r>
          </w:p>
        </w:tc>
        <w:tc>
          <w:tcPr>
            <w:tcW w:w="850" w:type="dxa"/>
            <w:vAlign w:val="center"/>
          </w:tcPr>
          <w:p w14:paraId="11613A10">
            <w:pPr>
              <w:pStyle w:val="25"/>
              <w:spacing w:before="20" w:after="20"/>
              <w:jc w:val="center"/>
            </w:pPr>
            <w:r>
              <w:rPr>
                <w:sz w:val="19"/>
              </w:rPr>
              <w:t>0</w:t>
            </w:r>
          </w:p>
        </w:tc>
        <w:tc>
          <w:tcPr>
            <w:tcW w:w="850" w:type="dxa"/>
            <w:vAlign w:val="center"/>
          </w:tcPr>
          <w:p w14:paraId="32853818">
            <w:pPr>
              <w:pStyle w:val="25"/>
              <w:spacing w:before="20" w:after="20"/>
              <w:jc w:val="center"/>
            </w:pPr>
            <w:r>
              <w:rPr>
                <w:sz w:val="19"/>
              </w:rPr>
              <w:t>300</w:t>
            </w:r>
          </w:p>
        </w:tc>
      </w:tr>
      <w:tr w14:paraId="2E83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C054383">
            <w:pPr>
              <w:pStyle w:val="25"/>
              <w:spacing w:before="20" w:after="20"/>
              <w:jc w:val="left"/>
            </w:pPr>
            <w:r>
              <w:rPr>
                <w:sz w:val="19"/>
              </w:rPr>
              <w:t>SVHTNL 悬吊槽钢上方螺母松动</w:t>
            </w:r>
          </w:p>
        </w:tc>
        <w:tc>
          <w:tcPr>
            <w:tcW w:w="850" w:type="dxa"/>
            <w:vAlign w:val="center"/>
          </w:tcPr>
          <w:p w14:paraId="5D67252E">
            <w:pPr>
              <w:pStyle w:val="25"/>
              <w:spacing w:before="20" w:after="20"/>
              <w:jc w:val="center"/>
            </w:pPr>
            <w:r>
              <w:rPr>
                <w:sz w:val="19"/>
              </w:rPr>
              <w:t>209</w:t>
            </w:r>
          </w:p>
        </w:tc>
        <w:tc>
          <w:tcPr>
            <w:tcW w:w="850" w:type="dxa"/>
            <w:vAlign w:val="center"/>
          </w:tcPr>
          <w:p w14:paraId="56D488CE">
            <w:pPr>
              <w:pStyle w:val="25"/>
              <w:spacing w:before="20" w:after="20"/>
              <w:jc w:val="center"/>
            </w:pPr>
            <w:r>
              <w:rPr>
                <w:sz w:val="19"/>
              </w:rPr>
              <w:t>350</w:t>
            </w:r>
          </w:p>
        </w:tc>
        <w:tc>
          <w:tcPr>
            <w:tcW w:w="2494" w:type="dxa"/>
            <w:vAlign w:val="center"/>
          </w:tcPr>
          <w:p w14:paraId="7F28DC17">
            <w:pPr>
              <w:pStyle w:val="25"/>
              <w:spacing w:before="20" w:after="20"/>
              <w:jc w:val="center"/>
            </w:pPr>
            <w:r>
              <w:rPr>
                <w:sz w:val="19"/>
              </w:rPr>
              <w:t>GWCNM 地线线夹螺母缺失</w:t>
            </w:r>
          </w:p>
        </w:tc>
        <w:tc>
          <w:tcPr>
            <w:tcW w:w="850" w:type="dxa"/>
            <w:vAlign w:val="center"/>
          </w:tcPr>
          <w:p w14:paraId="110E0A8A">
            <w:pPr>
              <w:pStyle w:val="25"/>
              <w:spacing w:before="20" w:after="20"/>
              <w:jc w:val="center"/>
            </w:pPr>
            <w:r>
              <w:rPr>
                <w:sz w:val="19"/>
              </w:rPr>
              <w:t>0</w:t>
            </w:r>
          </w:p>
        </w:tc>
        <w:tc>
          <w:tcPr>
            <w:tcW w:w="850" w:type="dxa"/>
            <w:vAlign w:val="center"/>
          </w:tcPr>
          <w:p w14:paraId="39900A4B">
            <w:pPr>
              <w:pStyle w:val="25"/>
              <w:spacing w:before="20" w:after="20"/>
              <w:jc w:val="center"/>
            </w:pPr>
            <w:r>
              <w:rPr>
                <w:sz w:val="19"/>
              </w:rPr>
              <w:t>300</w:t>
            </w:r>
          </w:p>
        </w:tc>
      </w:tr>
      <w:tr w14:paraId="5B45C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788D80C4">
            <w:pPr>
              <w:pStyle w:val="25"/>
              <w:spacing w:before="20" w:after="20"/>
              <w:jc w:val="left"/>
            </w:pPr>
            <w:r>
              <w:rPr>
                <w:sz w:val="19"/>
              </w:rPr>
              <w:t>CBHPM 腕臂横向销钉缺开口销</w:t>
            </w:r>
          </w:p>
        </w:tc>
        <w:tc>
          <w:tcPr>
            <w:tcW w:w="850" w:type="dxa"/>
            <w:vAlign w:val="center"/>
          </w:tcPr>
          <w:p w14:paraId="2270EED9">
            <w:pPr>
              <w:pStyle w:val="25"/>
              <w:spacing w:before="20" w:after="20"/>
              <w:jc w:val="center"/>
            </w:pPr>
            <w:r>
              <w:rPr>
                <w:sz w:val="19"/>
              </w:rPr>
              <w:t>204</w:t>
            </w:r>
          </w:p>
        </w:tc>
        <w:tc>
          <w:tcPr>
            <w:tcW w:w="850" w:type="dxa"/>
            <w:vAlign w:val="center"/>
          </w:tcPr>
          <w:p w14:paraId="366C3E5A">
            <w:pPr>
              <w:pStyle w:val="25"/>
              <w:spacing w:before="20" w:after="20"/>
              <w:jc w:val="center"/>
            </w:pPr>
            <w:r>
              <w:rPr>
                <w:sz w:val="19"/>
              </w:rPr>
              <w:t>350</w:t>
            </w:r>
          </w:p>
        </w:tc>
        <w:tc>
          <w:tcPr>
            <w:tcW w:w="2494" w:type="dxa"/>
            <w:vAlign w:val="center"/>
          </w:tcPr>
          <w:p w14:paraId="4F87434B">
            <w:pPr>
              <w:pStyle w:val="25"/>
              <w:spacing w:before="20" w:after="20"/>
              <w:jc w:val="center"/>
            </w:pPr>
            <w:r>
              <w:rPr>
                <w:sz w:val="19"/>
              </w:rPr>
              <w:t>GWCNL 地线线夹螺母松动</w:t>
            </w:r>
          </w:p>
        </w:tc>
        <w:tc>
          <w:tcPr>
            <w:tcW w:w="850" w:type="dxa"/>
            <w:vAlign w:val="center"/>
          </w:tcPr>
          <w:p w14:paraId="04533877">
            <w:pPr>
              <w:pStyle w:val="25"/>
              <w:spacing w:before="20" w:after="20"/>
              <w:jc w:val="center"/>
            </w:pPr>
            <w:r>
              <w:rPr>
                <w:sz w:val="19"/>
              </w:rPr>
              <w:t>0</w:t>
            </w:r>
          </w:p>
        </w:tc>
        <w:tc>
          <w:tcPr>
            <w:tcW w:w="850" w:type="dxa"/>
            <w:vAlign w:val="center"/>
          </w:tcPr>
          <w:p w14:paraId="023B6EF5">
            <w:pPr>
              <w:pStyle w:val="25"/>
              <w:spacing w:before="20" w:after="20"/>
              <w:jc w:val="center"/>
            </w:pPr>
            <w:r>
              <w:rPr>
                <w:sz w:val="19"/>
              </w:rPr>
              <w:t>300</w:t>
            </w:r>
          </w:p>
        </w:tc>
      </w:tr>
      <w:tr w14:paraId="7DC86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35AD3F81">
            <w:pPr>
              <w:pStyle w:val="25"/>
              <w:spacing w:before="20" w:after="20"/>
              <w:jc w:val="left"/>
            </w:pPr>
            <w:r>
              <w:rPr>
                <w:sz w:val="19"/>
              </w:rPr>
              <w:t>CBVPM 腕臂垂直销钉缺开口销</w:t>
            </w:r>
          </w:p>
        </w:tc>
        <w:tc>
          <w:tcPr>
            <w:tcW w:w="850" w:type="dxa"/>
            <w:vAlign w:val="center"/>
          </w:tcPr>
          <w:p w14:paraId="649225A3">
            <w:pPr>
              <w:pStyle w:val="25"/>
              <w:spacing w:before="20" w:after="20"/>
              <w:jc w:val="center"/>
            </w:pPr>
            <w:r>
              <w:rPr>
                <w:sz w:val="19"/>
              </w:rPr>
              <w:t>207</w:t>
            </w:r>
          </w:p>
        </w:tc>
        <w:tc>
          <w:tcPr>
            <w:tcW w:w="850" w:type="dxa"/>
            <w:vAlign w:val="center"/>
          </w:tcPr>
          <w:p w14:paraId="1E699E18">
            <w:pPr>
              <w:pStyle w:val="25"/>
              <w:spacing w:before="20" w:after="20"/>
              <w:jc w:val="center"/>
            </w:pPr>
            <w:r>
              <w:rPr>
                <w:sz w:val="19"/>
              </w:rPr>
              <w:t>350</w:t>
            </w:r>
          </w:p>
        </w:tc>
        <w:tc>
          <w:tcPr>
            <w:tcW w:w="2494" w:type="dxa"/>
            <w:vAlign w:val="center"/>
          </w:tcPr>
          <w:p w14:paraId="45E1DD3A">
            <w:pPr>
              <w:pStyle w:val="25"/>
              <w:spacing w:before="20" w:after="20"/>
              <w:jc w:val="center"/>
            </w:pPr>
            <w:r>
              <w:rPr>
                <w:sz w:val="19"/>
              </w:rPr>
              <w:t>BSBM 汇流排接头螺栓缺失</w:t>
            </w:r>
          </w:p>
        </w:tc>
        <w:tc>
          <w:tcPr>
            <w:tcW w:w="850" w:type="dxa"/>
            <w:vAlign w:val="center"/>
          </w:tcPr>
          <w:p w14:paraId="5AAFF9D4">
            <w:pPr>
              <w:pStyle w:val="25"/>
              <w:spacing w:before="20" w:after="20"/>
              <w:jc w:val="center"/>
            </w:pPr>
            <w:r>
              <w:rPr>
                <w:sz w:val="19"/>
              </w:rPr>
              <w:t>183</w:t>
            </w:r>
          </w:p>
        </w:tc>
        <w:tc>
          <w:tcPr>
            <w:tcW w:w="850" w:type="dxa"/>
            <w:vAlign w:val="center"/>
          </w:tcPr>
          <w:p w14:paraId="0A289D63">
            <w:pPr>
              <w:pStyle w:val="25"/>
              <w:spacing w:before="20" w:after="20"/>
              <w:jc w:val="center"/>
            </w:pPr>
            <w:r>
              <w:rPr>
                <w:sz w:val="19"/>
              </w:rPr>
              <w:t>350</w:t>
            </w:r>
          </w:p>
        </w:tc>
      </w:tr>
      <w:tr w14:paraId="65C0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0389D231">
            <w:pPr>
              <w:pStyle w:val="25"/>
              <w:spacing w:before="20" w:after="20"/>
              <w:jc w:val="center"/>
            </w:pPr>
            <w:r>
              <w:rPr>
                <w:sz w:val="19"/>
              </w:rPr>
              <w:t>INSD 绝缘子破损</w:t>
            </w:r>
          </w:p>
        </w:tc>
        <w:tc>
          <w:tcPr>
            <w:tcW w:w="850" w:type="dxa"/>
            <w:vAlign w:val="center"/>
          </w:tcPr>
          <w:p w14:paraId="308F98EE">
            <w:pPr>
              <w:pStyle w:val="25"/>
              <w:spacing w:before="20" w:after="20"/>
              <w:jc w:val="center"/>
            </w:pPr>
            <w:r>
              <w:rPr>
                <w:sz w:val="19"/>
              </w:rPr>
              <w:t>216</w:t>
            </w:r>
          </w:p>
        </w:tc>
        <w:tc>
          <w:tcPr>
            <w:tcW w:w="850" w:type="dxa"/>
            <w:vAlign w:val="center"/>
          </w:tcPr>
          <w:p w14:paraId="45386A31">
            <w:pPr>
              <w:pStyle w:val="25"/>
              <w:spacing w:before="20" w:after="20"/>
              <w:jc w:val="center"/>
            </w:pPr>
            <w:r>
              <w:rPr>
                <w:sz w:val="19"/>
              </w:rPr>
              <w:t>380</w:t>
            </w:r>
          </w:p>
        </w:tc>
        <w:tc>
          <w:tcPr>
            <w:tcW w:w="2494" w:type="dxa"/>
            <w:vAlign w:val="center"/>
          </w:tcPr>
          <w:p w14:paraId="4D6DD231">
            <w:pPr>
              <w:pStyle w:val="25"/>
              <w:spacing w:before="20" w:after="20"/>
              <w:jc w:val="center"/>
            </w:pPr>
            <w:r>
              <w:rPr>
                <w:sz w:val="19"/>
              </w:rPr>
              <w:t>DRPS 吊弦不受力</w:t>
            </w:r>
          </w:p>
        </w:tc>
        <w:tc>
          <w:tcPr>
            <w:tcW w:w="850" w:type="dxa"/>
            <w:vAlign w:val="center"/>
          </w:tcPr>
          <w:p w14:paraId="001A04A5">
            <w:pPr>
              <w:pStyle w:val="25"/>
              <w:spacing w:before="20" w:after="20"/>
              <w:jc w:val="center"/>
            </w:pPr>
            <w:r>
              <w:rPr>
                <w:sz w:val="19"/>
              </w:rPr>
              <w:t>69</w:t>
            </w:r>
          </w:p>
        </w:tc>
        <w:tc>
          <w:tcPr>
            <w:tcW w:w="850" w:type="dxa"/>
            <w:vAlign w:val="center"/>
          </w:tcPr>
          <w:p w14:paraId="6876E3AA">
            <w:pPr>
              <w:pStyle w:val="25"/>
              <w:spacing w:before="20" w:after="20"/>
              <w:jc w:val="center"/>
            </w:pPr>
            <w:r>
              <w:rPr>
                <w:sz w:val="19"/>
              </w:rPr>
              <w:t>300</w:t>
            </w:r>
          </w:p>
        </w:tc>
      </w:tr>
    </w:tbl>
    <w:p w14:paraId="376F0E56">
      <w:pPr>
        <w:spacing w:after="40" w:line="240" w:lineRule="auto"/>
      </w:pPr>
    </w:p>
    <w:p w14:paraId="60061F3D">
      <w:pPr>
        <w:pStyle w:val="22"/>
        <w:spacing w:before="120" w:after="0"/>
        <w:jc w:val="center"/>
      </w:pPr>
      <w:r>
        <w:drawing>
          <wp:inline distT="0" distB="0" distL="114300" distR="114300">
            <wp:extent cx="5183505" cy="3735070"/>
            <wp:effectExtent l="0" t="0" r="762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84000" cy="3735529"/>
                    </a:xfrm>
                    <a:prstGeom prst="rect">
                      <a:avLst/>
                    </a:prstGeom>
                  </pic:spPr>
                </pic:pic>
              </a:graphicData>
            </a:graphic>
          </wp:inline>
        </w:drawing>
      </w:r>
    </w:p>
    <w:p w14:paraId="46EA0424">
      <w:pPr>
        <w:pStyle w:val="11"/>
        <w:spacing w:before="80" w:after="80"/>
      </w:pPr>
      <w:r>
        <w:t>图 2-1　数据集重构前后各类别样本量对比</w:t>
      </w:r>
    </w:p>
    <w:p w14:paraId="0C1D42AF">
      <w:pPr>
        <w:spacing w:after="0" w:line="360" w:lineRule="auto"/>
        <w:ind w:firstLine="480" w:firstLineChars="200"/>
      </w:pPr>
      <w:r>
        <w:t>均衡手段按优先级依次采用：</w:t>
      </w:r>
    </w:p>
    <w:p w14:paraId="3EFD980A">
      <w:pPr>
        <w:spacing w:after="0" w:line="360" w:lineRule="auto"/>
        <w:ind w:firstLine="480" w:firstLineChars="200"/>
      </w:pPr>
      <w:r>
        <w:t>（1）</w:t>
      </w:r>
      <w:r>
        <w:rPr>
          <w:b/>
        </w:rPr>
        <w:t>采集补齐（首选）</w:t>
      </w:r>
      <w:r>
        <w:t>：针对 4 类地线线夹缺陷与吊柱顶板螺母、吊弦不受力等尾部类别组织专项拍摄，真实样本优先于合成样本；</w:t>
      </w:r>
    </w:p>
    <w:p w14:paraId="2F462567">
      <w:pPr>
        <w:spacing w:after="0" w:line="360" w:lineRule="auto"/>
        <w:ind w:firstLine="480" w:firstLineChars="200"/>
      </w:pPr>
      <w:r>
        <w:t>（2）</w:t>
      </w:r>
      <w:r>
        <w:rPr>
          <w:b/>
        </w:rPr>
        <w:t>真实样本增强</w:t>
      </w:r>
      <w:r>
        <w:t>：对稀有类别采用缺陷复制粘贴（将缺陷区域粘贴至同构件正常图像）、场景增强（光照/天气变化）、背景替换、随机遮挡、图像混合、随机旋转与色彩抖动等手段扩充样本；</w:t>
      </w:r>
    </w:p>
    <w:p w14:paraId="688B9009">
      <w:pPr>
        <w:spacing w:after="0" w:line="360" w:lineRule="auto"/>
        <w:ind w:firstLine="480" w:firstLineChars="200"/>
      </w:pPr>
      <w:r>
        <w:t>（3）</w:t>
      </w:r>
      <w:r>
        <w:rPr>
          <w:b/>
        </w:rPr>
        <w:t>训练侧均衡</w:t>
      </w:r>
      <w:r>
        <w:t>：稀有类别过采样与头部类别适当欠采样结合，并对稀有类别加大训练权重；</w:t>
      </w:r>
    </w:p>
    <w:p w14:paraId="3137456C">
      <w:pPr>
        <w:spacing w:after="0" w:line="360" w:lineRule="auto"/>
        <w:ind w:firstLine="480" w:firstLineChars="200"/>
      </w:pPr>
      <w:r>
        <w:t>（4）</w:t>
      </w:r>
      <w:r>
        <w:rPr>
          <w:b/>
        </w:rPr>
        <w:t>负样本配置</w:t>
      </w:r>
      <w:r>
        <w:t>：保留适量无缺陷背景图与困难负样本（隧道挂件、反光件、正常线夹等高混淆目标），用于抑制误报。</w:t>
      </w:r>
    </w:p>
    <w:p w14:paraId="10FC2E58">
      <w:pPr>
        <w:pStyle w:val="4"/>
        <w:spacing w:before="200" w:after="120" w:line="312" w:lineRule="auto"/>
      </w:pPr>
      <w:r>
        <w:rPr>
          <w:rFonts w:eastAsia="黑体"/>
        </w:rPr>
        <w:t>5．数据划分与版本管理</w:t>
      </w:r>
    </w:p>
    <w:p w14:paraId="6DD10A9C">
      <w:pPr>
        <w:spacing w:after="0" w:line="360" w:lineRule="auto"/>
        <w:ind w:firstLine="480" w:firstLineChars="200"/>
      </w:pPr>
      <w:r>
        <w:t>训练集与验证集按约 85:15 划分并保持类别分布一致；同一拍摄点位/同一构件的图像不得同时进入训练集与验证集，防止评估失真。数据集独立编号版本（v2.0、v2.1…），与模型版本对应，保证评估结果可追溯、可复现。</w:t>
      </w:r>
    </w:p>
    <w:p w14:paraId="7FC7AE90">
      <w:pPr>
        <w:pStyle w:val="3"/>
        <w:spacing w:before="200" w:after="120" w:line="312" w:lineRule="auto"/>
      </w:pPr>
      <w:bookmarkStart w:id="10" w:name="_Toc27908"/>
      <w:r>
        <w:rPr>
          <w:rFonts w:eastAsia="黑体"/>
        </w:rPr>
        <w:t>（三）训练新一版本模型</w:t>
      </w:r>
      <w:bookmarkEnd w:id="10"/>
    </w:p>
    <w:p w14:paraId="60A8DE47">
      <w:pPr>
        <w:pStyle w:val="4"/>
        <w:spacing w:before="200" w:after="120" w:line="312" w:lineRule="auto"/>
      </w:pPr>
      <w:r>
        <w:rPr>
          <w:rFonts w:eastAsia="黑体"/>
        </w:rPr>
        <w:t>1．模型架构</w:t>
      </w:r>
    </w:p>
    <w:p w14:paraId="3BB1C7C7">
      <w:pPr>
        <w:spacing w:after="0" w:line="360" w:lineRule="auto"/>
        <w:ind w:firstLine="480" w:firstLineChars="200"/>
      </w:pPr>
      <w:r>
        <w:t>沿用 7.30 版本验证有效的 YOLO11s-v2 改进架构，关键组成见表 2-3。</w:t>
      </w:r>
    </w:p>
    <w:p w14:paraId="05B1CBB9">
      <w:pPr>
        <w:pStyle w:val="11"/>
        <w:spacing w:before="80" w:after="80"/>
      </w:pPr>
      <w:r>
        <w:t>表 2-3　模型架构关键组成</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9"/>
        <w:gridCol w:w="2769"/>
        <w:gridCol w:w="2769"/>
      </w:tblGrid>
      <w:tr w14:paraId="4D99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9E2F3"/>
            <w:vAlign w:val="center"/>
          </w:tcPr>
          <w:p w14:paraId="7EBC1616">
            <w:pPr>
              <w:pStyle w:val="25"/>
              <w:spacing w:before="20" w:after="20"/>
              <w:jc w:val="center"/>
            </w:pPr>
            <w:r>
              <w:rPr>
                <w:b/>
                <w:sz w:val="21"/>
              </w:rPr>
              <w:t>组成</w:t>
            </w:r>
          </w:p>
        </w:tc>
        <w:tc>
          <w:tcPr>
            <w:tcW w:w="2948" w:type="dxa"/>
            <w:shd w:val="clear" w:color="auto" w:fill="D9E2F3"/>
            <w:vAlign w:val="center"/>
          </w:tcPr>
          <w:p w14:paraId="5C5E0A24">
            <w:pPr>
              <w:pStyle w:val="25"/>
              <w:spacing w:before="20" w:after="20"/>
              <w:jc w:val="center"/>
            </w:pPr>
            <w:r>
              <w:rPr>
                <w:b/>
                <w:sz w:val="21"/>
              </w:rPr>
              <w:t>内容</w:t>
            </w:r>
          </w:p>
        </w:tc>
        <w:tc>
          <w:tcPr>
            <w:tcW w:w="4309" w:type="dxa"/>
            <w:shd w:val="clear" w:color="auto" w:fill="D9E2F3"/>
            <w:vAlign w:val="center"/>
          </w:tcPr>
          <w:p w14:paraId="5296F4BF">
            <w:pPr>
              <w:pStyle w:val="25"/>
              <w:spacing w:before="20" w:after="20"/>
              <w:jc w:val="center"/>
            </w:pPr>
            <w:r>
              <w:rPr>
                <w:b/>
                <w:sz w:val="21"/>
              </w:rPr>
              <w:t>作用</w:t>
            </w:r>
          </w:p>
        </w:tc>
      </w:tr>
      <w:tr w14:paraId="30E06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90462CD">
            <w:pPr>
              <w:pStyle w:val="25"/>
              <w:spacing w:before="20" w:after="20"/>
              <w:jc w:val="center"/>
            </w:pPr>
            <w:r>
              <w:rPr>
                <w:sz w:val="21"/>
              </w:rPr>
              <w:t>骨干网络</w:t>
            </w:r>
          </w:p>
        </w:tc>
        <w:tc>
          <w:tcPr>
            <w:tcW w:w="2948" w:type="dxa"/>
            <w:vAlign w:val="center"/>
          </w:tcPr>
          <w:p w14:paraId="35E281B6">
            <w:pPr>
              <w:pStyle w:val="25"/>
              <w:spacing w:before="20" w:after="20"/>
              <w:jc w:val="left"/>
            </w:pPr>
            <w:r>
              <w:rPr>
                <w:sz w:val="21"/>
              </w:rPr>
              <w:t>YOLO11s＋可变形卷积（DCN）</w:t>
            </w:r>
          </w:p>
        </w:tc>
        <w:tc>
          <w:tcPr>
            <w:tcW w:w="4309" w:type="dxa"/>
            <w:vAlign w:val="center"/>
          </w:tcPr>
          <w:p w14:paraId="3F1A62A8">
            <w:pPr>
              <w:pStyle w:val="25"/>
              <w:spacing w:before="20" w:after="20"/>
              <w:jc w:val="left"/>
            </w:pPr>
            <w:r>
              <w:rPr>
                <w:sz w:val="21"/>
              </w:rPr>
              <w:t>增强对螺母、销钉等小目标形变的适应性</w:t>
            </w:r>
          </w:p>
        </w:tc>
      </w:tr>
      <w:tr w14:paraId="45C67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08864A7">
            <w:pPr>
              <w:pStyle w:val="25"/>
              <w:spacing w:before="20" w:after="20"/>
              <w:jc w:val="center"/>
            </w:pPr>
            <w:r>
              <w:rPr>
                <w:sz w:val="21"/>
              </w:rPr>
              <w:t>小目标增强</w:t>
            </w:r>
          </w:p>
        </w:tc>
        <w:tc>
          <w:tcPr>
            <w:tcW w:w="2948" w:type="dxa"/>
            <w:vAlign w:val="center"/>
          </w:tcPr>
          <w:p w14:paraId="2BFB814F">
            <w:pPr>
              <w:pStyle w:val="25"/>
              <w:spacing w:before="20" w:after="20"/>
              <w:jc w:val="center"/>
            </w:pPr>
            <w:r>
              <w:rPr>
                <w:sz w:val="21"/>
              </w:rPr>
              <w:t>P2 检测头（四尺度输出）</w:t>
            </w:r>
          </w:p>
        </w:tc>
        <w:tc>
          <w:tcPr>
            <w:tcW w:w="4309" w:type="dxa"/>
            <w:vAlign w:val="center"/>
          </w:tcPr>
          <w:p w14:paraId="7C78F526">
            <w:pPr>
              <w:pStyle w:val="25"/>
              <w:spacing w:before="20" w:after="20"/>
              <w:jc w:val="center"/>
            </w:pPr>
            <w:r>
              <w:rPr>
                <w:sz w:val="21"/>
              </w:rPr>
              <w:t>提高小目标检测分辨率，降低漏检</w:t>
            </w:r>
          </w:p>
        </w:tc>
      </w:tr>
      <w:tr w14:paraId="0CB37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50F03A7">
            <w:pPr>
              <w:pStyle w:val="25"/>
              <w:spacing w:before="20" w:after="20"/>
              <w:jc w:val="center"/>
            </w:pPr>
            <w:r>
              <w:rPr>
                <w:sz w:val="21"/>
              </w:rPr>
              <w:t>注意力机制</w:t>
            </w:r>
          </w:p>
        </w:tc>
        <w:tc>
          <w:tcPr>
            <w:tcW w:w="2948" w:type="dxa"/>
            <w:vAlign w:val="center"/>
          </w:tcPr>
          <w:p w14:paraId="313858C5">
            <w:pPr>
              <w:pStyle w:val="25"/>
              <w:spacing w:before="20" w:after="20"/>
              <w:jc w:val="left"/>
            </w:pPr>
            <w:r>
              <w:rPr>
                <w:sz w:val="21"/>
              </w:rPr>
              <w:t>CoordAtt＋LSK＋EMA＋SimAM</w:t>
            </w:r>
          </w:p>
        </w:tc>
        <w:tc>
          <w:tcPr>
            <w:tcW w:w="4309" w:type="dxa"/>
            <w:vAlign w:val="center"/>
          </w:tcPr>
          <w:p w14:paraId="43D35DBF">
            <w:pPr>
              <w:pStyle w:val="25"/>
              <w:spacing w:before="20" w:after="20"/>
              <w:jc w:val="left"/>
            </w:pPr>
            <w:r>
              <w:rPr>
                <w:sz w:val="21"/>
              </w:rPr>
              <w:t>抑制隧道复杂背景干扰，聚焦缺陷区域</w:t>
            </w:r>
          </w:p>
        </w:tc>
      </w:tr>
      <w:tr w14:paraId="5B29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74355E7">
            <w:pPr>
              <w:pStyle w:val="25"/>
              <w:spacing w:before="20" w:after="20"/>
              <w:jc w:val="center"/>
            </w:pPr>
            <w:r>
              <w:rPr>
                <w:sz w:val="21"/>
              </w:rPr>
              <w:t>损失函数</w:t>
            </w:r>
          </w:p>
        </w:tc>
        <w:tc>
          <w:tcPr>
            <w:tcW w:w="2948" w:type="dxa"/>
            <w:vAlign w:val="center"/>
          </w:tcPr>
          <w:p w14:paraId="6621D6DD">
            <w:pPr>
              <w:pStyle w:val="25"/>
              <w:spacing w:before="20" w:after="20"/>
              <w:jc w:val="center"/>
            </w:pPr>
            <w:r>
              <w:rPr>
                <w:sz w:val="21"/>
              </w:rPr>
              <w:t>Wise-IoU</w:t>
            </w:r>
          </w:p>
        </w:tc>
        <w:tc>
          <w:tcPr>
            <w:tcW w:w="4309" w:type="dxa"/>
            <w:vAlign w:val="center"/>
          </w:tcPr>
          <w:p w14:paraId="096426ED">
            <w:pPr>
              <w:pStyle w:val="25"/>
              <w:spacing w:before="20" w:after="20"/>
              <w:jc w:val="center"/>
            </w:pPr>
            <w:r>
              <w:rPr>
                <w:sz w:val="21"/>
              </w:rPr>
              <w:t>减轻低质量标注对训练的危害</w:t>
            </w:r>
          </w:p>
        </w:tc>
      </w:tr>
      <w:tr w14:paraId="68D2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6CD2E887">
            <w:pPr>
              <w:pStyle w:val="25"/>
              <w:spacing w:before="20" w:after="20"/>
              <w:jc w:val="center"/>
            </w:pPr>
            <w:r>
              <w:rPr>
                <w:sz w:val="21"/>
              </w:rPr>
              <w:t>轻量化备选</w:t>
            </w:r>
          </w:p>
        </w:tc>
        <w:tc>
          <w:tcPr>
            <w:tcW w:w="2948" w:type="dxa"/>
            <w:vAlign w:val="center"/>
          </w:tcPr>
          <w:p w14:paraId="533E3B4A">
            <w:pPr>
              <w:pStyle w:val="25"/>
              <w:spacing w:before="20" w:after="20"/>
              <w:jc w:val="center"/>
            </w:pPr>
            <w:r>
              <w:rPr>
                <w:sz w:val="21"/>
              </w:rPr>
              <w:t>YOLO11a-v2</w:t>
            </w:r>
          </w:p>
        </w:tc>
        <w:tc>
          <w:tcPr>
            <w:tcW w:w="4309" w:type="dxa"/>
            <w:vAlign w:val="center"/>
          </w:tcPr>
          <w:p w14:paraId="79409F64">
            <w:pPr>
              <w:pStyle w:val="25"/>
              <w:spacing w:before="20" w:after="20"/>
              <w:jc w:val="center"/>
            </w:pPr>
            <w:r>
              <w:rPr>
                <w:sz w:val="21"/>
              </w:rPr>
              <w:t>车载端算力受限时的备选方案</w:t>
            </w:r>
          </w:p>
        </w:tc>
      </w:tr>
    </w:tbl>
    <w:p w14:paraId="7EAD887B">
      <w:pPr>
        <w:spacing w:after="40" w:line="240" w:lineRule="auto"/>
      </w:pPr>
    </w:p>
    <w:p w14:paraId="4947014E">
      <w:pPr>
        <w:pStyle w:val="4"/>
        <w:spacing w:before="200" w:after="120" w:line="312" w:lineRule="auto"/>
      </w:pPr>
      <w:r>
        <w:rPr>
          <w:rFonts w:eastAsia="黑体"/>
        </w:rPr>
        <w:t>2．多阶段训练流程</w:t>
      </w:r>
    </w:p>
    <w:p w14:paraId="4A7D27A7">
      <w:pPr>
        <w:pStyle w:val="11"/>
        <w:spacing w:before="80" w:after="80"/>
      </w:pPr>
      <w:r>
        <w:t>表 2-4　多阶段训练流程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2076"/>
        <w:gridCol w:w="2076"/>
        <w:gridCol w:w="2076"/>
      </w:tblGrid>
      <w:tr w14:paraId="4092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shd w:val="clear" w:color="auto" w:fill="D9E2F3"/>
            <w:vAlign w:val="center"/>
          </w:tcPr>
          <w:p w14:paraId="705B440D">
            <w:pPr>
              <w:pStyle w:val="25"/>
              <w:spacing w:before="20" w:after="20"/>
              <w:jc w:val="center"/>
            </w:pPr>
            <w:r>
              <w:rPr>
                <w:b/>
                <w:sz w:val="21"/>
              </w:rPr>
              <w:t>阶段</w:t>
            </w:r>
          </w:p>
        </w:tc>
        <w:tc>
          <w:tcPr>
            <w:tcW w:w="1474" w:type="dxa"/>
            <w:shd w:val="clear" w:color="auto" w:fill="D9E2F3"/>
            <w:vAlign w:val="center"/>
          </w:tcPr>
          <w:p w14:paraId="216C0782">
            <w:pPr>
              <w:pStyle w:val="25"/>
              <w:spacing w:before="20" w:after="20"/>
              <w:jc w:val="center"/>
            </w:pPr>
            <w:r>
              <w:rPr>
                <w:b/>
                <w:sz w:val="21"/>
              </w:rPr>
              <w:t>名称</w:t>
            </w:r>
          </w:p>
        </w:tc>
        <w:tc>
          <w:tcPr>
            <w:tcW w:w="3798" w:type="dxa"/>
            <w:shd w:val="clear" w:color="auto" w:fill="D9E2F3"/>
            <w:vAlign w:val="center"/>
          </w:tcPr>
          <w:p w14:paraId="452CF6D6">
            <w:pPr>
              <w:pStyle w:val="25"/>
              <w:spacing w:before="20" w:after="20"/>
              <w:jc w:val="center"/>
            </w:pPr>
            <w:r>
              <w:rPr>
                <w:b/>
                <w:sz w:val="21"/>
              </w:rPr>
              <w:t>训练内容</w:t>
            </w:r>
          </w:p>
        </w:tc>
        <w:tc>
          <w:tcPr>
            <w:tcW w:w="2494" w:type="dxa"/>
            <w:shd w:val="clear" w:color="auto" w:fill="D9E2F3"/>
            <w:vAlign w:val="center"/>
          </w:tcPr>
          <w:p w14:paraId="618FC932">
            <w:pPr>
              <w:pStyle w:val="25"/>
              <w:spacing w:before="20" w:after="20"/>
              <w:jc w:val="center"/>
            </w:pPr>
            <w:r>
              <w:rPr>
                <w:b/>
                <w:sz w:val="21"/>
              </w:rPr>
              <w:t>目标</w:t>
            </w:r>
          </w:p>
        </w:tc>
      </w:tr>
      <w:tr w14:paraId="20E1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2D98C2C2">
            <w:pPr>
              <w:pStyle w:val="25"/>
              <w:spacing w:before="20" w:after="20"/>
              <w:jc w:val="center"/>
            </w:pPr>
            <w:r>
              <w:rPr>
                <w:sz w:val="21"/>
              </w:rPr>
              <w:t>Stage 2</w:t>
            </w:r>
          </w:p>
        </w:tc>
        <w:tc>
          <w:tcPr>
            <w:tcW w:w="1474" w:type="dxa"/>
            <w:vAlign w:val="center"/>
          </w:tcPr>
          <w:p w14:paraId="074206D1">
            <w:pPr>
              <w:pStyle w:val="25"/>
              <w:spacing w:before="20" w:after="20"/>
              <w:jc w:val="center"/>
            </w:pPr>
            <w:r>
              <w:rPr>
                <w:sz w:val="21"/>
              </w:rPr>
              <w:t>领域自适应</w:t>
            </w:r>
          </w:p>
        </w:tc>
        <w:tc>
          <w:tcPr>
            <w:tcW w:w="3798" w:type="dxa"/>
            <w:vAlign w:val="center"/>
          </w:tcPr>
          <w:p w14:paraId="149ED8DC">
            <w:pPr>
              <w:pStyle w:val="25"/>
              <w:spacing w:before="20" w:after="20"/>
              <w:jc w:val="center"/>
            </w:pPr>
            <w:r>
              <w:rPr>
                <w:sz w:val="21"/>
              </w:rPr>
              <w:t>在接触网图像上继续预训练</w:t>
            </w:r>
          </w:p>
        </w:tc>
        <w:tc>
          <w:tcPr>
            <w:tcW w:w="2494" w:type="dxa"/>
            <w:vAlign w:val="center"/>
          </w:tcPr>
          <w:p w14:paraId="5060F7CA">
            <w:pPr>
              <w:pStyle w:val="25"/>
              <w:spacing w:before="20" w:after="20"/>
              <w:jc w:val="center"/>
            </w:pPr>
            <w:r>
              <w:rPr>
                <w:sz w:val="21"/>
              </w:rPr>
              <w:t>使模型适应接触网图像特征</w:t>
            </w:r>
          </w:p>
        </w:tc>
      </w:tr>
      <w:tr w14:paraId="1E551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4DEFC92A">
            <w:pPr>
              <w:pStyle w:val="25"/>
              <w:spacing w:before="20" w:after="20"/>
              <w:jc w:val="center"/>
            </w:pPr>
            <w:r>
              <w:rPr>
                <w:sz w:val="21"/>
              </w:rPr>
              <w:t>Stage 3</w:t>
            </w:r>
          </w:p>
        </w:tc>
        <w:tc>
          <w:tcPr>
            <w:tcW w:w="1474" w:type="dxa"/>
            <w:vAlign w:val="center"/>
          </w:tcPr>
          <w:p w14:paraId="0C18617A">
            <w:pPr>
              <w:pStyle w:val="25"/>
              <w:spacing w:before="20" w:after="20"/>
              <w:jc w:val="center"/>
            </w:pPr>
            <w:r>
              <w:rPr>
                <w:sz w:val="21"/>
              </w:rPr>
              <w:t>主体训练</w:t>
            </w:r>
          </w:p>
        </w:tc>
        <w:tc>
          <w:tcPr>
            <w:tcW w:w="3798" w:type="dxa"/>
            <w:vAlign w:val="center"/>
          </w:tcPr>
          <w:p w14:paraId="7AA7A5B1">
            <w:pPr>
              <w:pStyle w:val="25"/>
              <w:spacing w:before="20" w:after="20"/>
              <w:jc w:val="center"/>
            </w:pPr>
            <w:r>
              <w:rPr>
                <w:sz w:val="21"/>
              </w:rPr>
              <w:t>重构数据集上全参数训练</w:t>
            </w:r>
          </w:p>
        </w:tc>
        <w:tc>
          <w:tcPr>
            <w:tcW w:w="2494" w:type="dxa"/>
            <w:vAlign w:val="center"/>
          </w:tcPr>
          <w:p w14:paraId="6C2D0562">
            <w:pPr>
              <w:pStyle w:val="25"/>
              <w:spacing w:before="20" w:after="20"/>
              <w:jc w:val="center"/>
            </w:pPr>
            <w:r>
              <w:rPr>
                <w:sz w:val="21"/>
              </w:rPr>
              <w:t>建立全类别识别能力</w:t>
            </w:r>
          </w:p>
        </w:tc>
      </w:tr>
      <w:tr w14:paraId="4867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70DDBDDF">
            <w:pPr>
              <w:pStyle w:val="25"/>
              <w:spacing w:before="20" w:after="20"/>
              <w:jc w:val="center"/>
            </w:pPr>
            <w:r>
              <w:rPr>
                <w:sz w:val="21"/>
              </w:rPr>
              <w:t>Stage 4</w:t>
            </w:r>
          </w:p>
        </w:tc>
        <w:tc>
          <w:tcPr>
            <w:tcW w:w="1474" w:type="dxa"/>
            <w:vAlign w:val="center"/>
          </w:tcPr>
          <w:p w14:paraId="0C881D9A">
            <w:pPr>
              <w:pStyle w:val="25"/>
              <w:spacing w:before="20" w:after="20"/>
              <w:jc w:val="center"/>
            </w:pPr>
            <w:r>
              <w:rPr>
                <w:sz w:val="21"/>
              </w:rPr>
              <w:t>精调</w:t>
            </w:r>
          </w:p>
        </w:tc>
        <w:tc>
          <w:tcPr>
            <w:tcW w:w="3798" w:type="dxa"/>
            <w:vAlign w:val="center"/>
          </w:tcPr>
          <w:p w14:paraId="7BF7B985">
            <w:pPr>
              <w:pStyle w:val="25"/>
              <w:spacing w:before="20" w:after="20"/>
              <w:jc w:val="center"/>
            </w:pPr>
            <w:r>
              <w:rPr>
                <w:sz w:val="21"/>
              </w:rPr>
              <w:t>冻结骨干、低学习率精调</w:t>
            </w:r>
          </w:p>
        </w:tc>
        <w:tc>
          <w:tcPr>
            <w:tcW w:w="2494" w:type="dxa"/>
            <w:vAlign w:val="center"/>
          </w:tcPr>
          <w:p w14:paraId="43A34DCA">
            <w:pPr>
              <w:pStyle w:val="25"/>
              <w:spacing w:before="20" w:after="20"/>
              <w:jc w:val="center"/>
            </w:pPr>
            <w:r>
              <w:rPr>
                <w:sz w:val="21"/>
              </w:rPr>
              <w:t>提升识别准确率</w:t>
            </w:r>
          </w:p>
        </w:tc>
      </w:tr>
      <w:tr w14:paraId="1732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0C6D91D7">
            <w:pPr>
              <w:pStyle w:val="25"/>
              <w:spacing w:before="20" w:after="20"/>
              <w:jc w:val="center"/>
            </w:pPr>
            <w:r>
              <w:rPr>
                <w:sz w:val="21"/>
              </w:rPr>
              <w:t>Stage 5</w:t>
            </w:r>
          </w:p>
        </w:tc>
        <w:tc>
          <w:tcPr>
            <w:tcW w:w="1474" w:type="dxa"/>
            <w:vAlign w:val="center"/>
          </w:tcPr>
          <w:p w14:paraId="66389E00">
            <w:pPr>
              <w:pStyle w:val="25"/>
              <w:spacing w:before="20" w:after="20"/>
              <w:jc w:val="center"/>
            </w:pPr>
            <w:r>
              <w:rPr>
                <w:sz w:val="21"/>
              </w:rPr>
              <w:t>难例挖掘</w:t>
            </w:r>
          </w:p>
        </w:tc>
        <w:tc>
          <w:tcPr>
            <w:tcW w:w="3798" w:type="dxa"/>
            <w:vAlign w:val="center"/>
          </w:tcPr>
          <w:p w14:paraId="4DED5E16">
            <w:pPr>
              <w:pStyle w:val="25"/>
              <w:spacing w:before="20" w:after="20"/>
              <w:jc w:val="center"/>
            </w:pPr>
            <w:r>
              <w:rPr>
                <w:sz w:val="21"/>
              </w:rPr>
              <w:t>困难负样本训练＋置信度阈值标定</w:t>
            </w:r>
          </w:p>
        </w:tc>
        <w:tc>
          <w:tcPr>
            <w:tcW w:w="2494" w:type="dxa"/>
            <w:vAlign w:val="center"/>
          </w:tcPr>
          <w:p w14:paraId="0620C355">
            <w:pPr>
              <w:pStyle w:val="25"/>
              <w:spacing w:before="20" w:after="20"/>
              <w:jc w:val="center"/>
            </w:pPr>
            <w:r>
              <w:rPr>
                <w:sz w:val="21"/>
              </w:rPr>
              <w:t>抑制误报，确定交付阈值</w:t>
            </w:r>
          </w:p>
        </w:tc>
      </w:tr>
    </w:tbl>
    <w:p w14:paraId="0315DA7F">
      <w:pPr>
        <w:spacing w:after="40" w:line="240" w:lineRule="auto"/>
      </w:pPr>
    </w:p>
    <w:p w14:paraId="4BC4D494">
      <w:pPr>
        <w:pStyle w:val="4"/>
        <w:spacing w:before="200" w:after="120" w:line="312" w:lineRule="auto"/>
      </w:pPr>
      <w:r>
        <w:rPr>
          <w:rFonts w:eastAsia="黑体"/>
        </w:rPr>
        <w:t>3．关键问题对策</w:t>
      </w:r>
    </w:p>
    <w:p w14:paraId="1203C8A3">
      <w:pPr>
        <w:spacing w:after="0" w:line="360" w:lineRule="auto"/>
        <w:ind w:firstLine="480" w:firstLineChars="200"/>
      </w:pPr>
      <w:r>
        <w:t>（1）小目标检测：小目标检测头＋大尺寸切片训练；</w:t>
      </w:r>
    </w:p>
    <w:p w14:paraId="691F5F0D">
      <w:pPr>
        <w:spacing w:after="0" w:line="360" w:lineRule="auto"/>
        <w:ind w:firstLine="480" w:firstLineChars="200"/>
      </w:pPr>
      <w:r>
        <w:t>（2）类别不均衡：类别加权＋稀有类过采样＋样本增强组合使用；</w:t>
      </w:r>
    </w:p>
    <w:p w14:paraId="57AD4696">
      <w:pPr>
        <w:spacing w:after="0" w:line="360" w:lineRule="auto"/>
        <w:ind w:firstLine="480" w:firstLineChars="200"/>
      </w:pPr>
      <w:r>
        <w:t>（3）松动类细微特征：对松动类样本施加局部放大与对比度增强，必要时采用“先定位构件、再判别螺母状态”的两阶段识别；</w:t>
      </w:r>
    </w:p>
    <w:p w14:paraId="6809BF23">
      <w:pPr>
        <w:spacing w:after="0" w:line="360" w:lineRule="auto"/>
        <w:ind w:firstLine="480" w:firstLineChars="200"/>
      </w:pPr>
      <w:r>
        <w:t>（4）误报抑制：将高混淆背景作为困难负样本加入训练；</w:t>
      </w:r>
    </w:p>
    <w:p w14:paraId="24BBCA71">
      <w:pPr>
        <w:spacing w:after="0" w:line="360" w:lineRule="auto"/>
        <w:ind w:firstLine="480" w:firstLineChars="200"/>
      </w:pPr>
      <w:r>
        <w:t>（5）过拟合防控：早停、正则化与验证集监控，保存验证表现最佳的模型。</w:t>
      </w:r>
    </w:p>
    <w:p w14:paraId="4A6FEC9B">
      <w:pPr>
        <w:pStyle w:val="3"/>
        <w:spacing w:before="200" w:after="120" w:line="312" w:lineRule="auto"/>
      </w:pPr>
      <w:bookmarkStart w:id="11" w:name="_Toc32508"/>
      <w:r>
        <w:rPr>
          <w:rFonts w:eastAsia="黑体"/>
        </w:rPr>
        <w:t>（四）阶段一进度安排</w:t>
      </w:r>
      <w:bookmarkEnd w:id="11"/>
    </w:p>
    <w:p w14:paraId="2531E409">
      <w:pPr>
        <w:spacing w:after="0" w:line="360" w:lineRule="auto"/>
        <w:ind w:firstLine="480" w:firstLineChars="200"/>
      </w:pPr>
      <w:r>
        <w:t>阶段一为刚性节点，各项工作须在 8 月 15 日前完成，具体安排见表 2-5；总体进度计划见图 2-2。</w:t>
      </w:r>
    </w:p>
    <w:p w14:paraId="59E38C3D">
      <w:pPr>
        <w:pStyle w:val="11"/>
        <w:spacing w:before="80" w:after="80"/>
      </w:pPr>
      <w:r>
        <w:t>表 2-5　阶段一工作安排（8.1—8.15）</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9"/>
        <w:gridCol w:w="2769"/>
        <w:gridCol w:w="2769"/>
      </w:tblGrid>
      <w:tr w14:paraId="5E5E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9E2F3"/>
            <w:vAlign w:val="center"/>
          </w:tcPr>
          <w:p w14:paraId="1A5DD2AF">
            <w:pPr>
              <w:pStyle w:val="25"/>
              <w:spacing w:before="20" w:after="20"/>
              <w:jc w:val="center"/>
            </w:pPr>
            <w:r>
              <w:rPr>
                <w:b/>
                <w:sz w:val="21"/>
              </w:rPr>
              <w:t>时间</w:t>
            </w:r>
          </w:p>
        </w:tc>
        <w:tc>
          <w:tcPr>
            <w:tcW w:w="4082" w:type="dxa"/>
            <w:shd w:val="clear" w:color="auto" w:fill="D9E2F3"/>
            <w:vAlign w:val="center"/>
          </w:tcPr>
          <w:p w14:paraId="6E27BC7A">
            <w:pPr>
              <w:pStyle w:val="25"/>
              <w:spacing w:before="20" w:after="20"/>
              <w:jc w:val="center"/>
            </w:pPr>
            <w:r>
              <w:rPr>
                <w:b/>
                <w:sz w:val="21"/>
              </w:rPr>
              <w:t>工作内容</w:t>
            </w:r>
          </w:p>
        </w:tc>
        <w:tc>
          <w:tcPr>
            <w:tcW w:w="3175" w:type="dxa"/>
            <w:shd w:val="clear" w:color="auto" w:fill="D9E2F3"/>
            <w:vAlign w:val="center"/>
          </w:tcPr>
          <w:p w14:paraId="61BBA986">
            <w:pPr>
              <w:pStyle w:val="25"/>
              <w:spacing w:before="20" w:after="20"/>
              <w:jc w:val="center"/>
            </w:pPr>
            <w:r>
              <w:rPr>
                <w:b/>
                <w:sz w:val="21"/>
              </w:rPr>
              <w:t>交付物</w:t>
            </w:r>
          </w:p>
        </w:tc>
      </w:tr>
      <w:tr w14:paraId="015C6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72E1F89">
            <w:pPr>
              <w:pStyle w:val="25"/>
              <w:spacing w:before="20" w:after="20"/>
              <w:jc w:val="center"/>
            </w:pPr>
            <w:r>
              <w:rPr>
                <w:sz w:val="21"/>
              </w:rPr>
              <w:t>8.1–8.5</w:t>
            </w:r>
          </w:p>
        </w:tc>
        <w:tc>
          <w:tcPr>
            <w:tcW w:w="4082" w:type="dxa"/>
            <w:vAlign w:val="center"/>
          </w:tcPr>
          <w:p w14:paraId="56A44B75">
            <w:pPr>
              <w:pStyle w:val="25"/>
              <w:spacing w:before="20" w:after="20"/>
              <w:jc w:val="center"/>
            </w:pPr>
            <w:r>
              <w:rPr>
                <w:sz w:val="21"/>
              </w:rPr>
              <w:t>新图像入库、清洗与质检</w:t>
            </w:r>
          </w:p>
        </w:tc>
        <w:tc>
          <w:tcPr>
            <w:tcW w:w="3175" w:type="dxa"/>
            <w:vAlign w:val="center"/>
          </w:tcPr>
          <w:p w14:paraId="0AB27B0F">
            <w:pPr>
              <w:pStyle w:val="25"/>
              <w:spacing w:before="20" w:after="20"/>
              <w:jc w:val="center"/>
            </w:pPr>
            <w:r>
              <w:rPr>
                <w:sz w:val="21"/>
              </w:rPr>
              <w:t>数据清单、质检记录</w:t>
            </w:r>
          </w:p>
        </w:tc>
      </w:tr>
      <w:tr w14:paraId="43DF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1EA1589">
            <w:pPr>
              <w:pStyle w:val="25"/>
              <w:spacing w:before="20" w:after="20"/>
              <w:jc w:val="center"/>
            </w:pPr>
            <w:r>
              <w:rPr>
                <w:sz w:val="21"/>
              </w:rPr>
              <w:t>8.1–8.4</w:t>
            </w:r>
          </w:p>
        </w:tc>
        <w:tc>
          <w:tcPr>
            <w:tcW w:w="4082" w:type="dxa"/>
            <w:vAlign w:val="center"/>
          </w:tcPr>
          <w:p w14:paraId="57827F35">
            <w:pPr>
              <w:pStyle w:val="25"/>
              <w:spacing w:before="20" w:after="20"/>
              <w:jc w:val="center"/>
            </w:pPr>
            <w:r>
              <w:rPr>
                <w:sz w:val="21"/>
              </w:rPr>
              <w:t>术语纠偏培训、标注规范宣贯</w:t>
            </w:r>
          </w:p>
        </w:tc>
        <w:tc>
          <w:tcPr>
            <w:tcW w:w="3175" w:type="dxa"/>
            <w:vAlign w:val="center"/>
          </w:tcPr>
          <w:p w14:paraId="5EB8AB28">
            <w:pPr>
              <w:pStyle w:val="25"/>
              <w:spacing w:before="20" w:after="20"/>
              <w:jc w:val="center"/>
            </w:pPr>
            <w:r>
              <w:rPr>
                <w:sz w:val="21"/>
              </w:rPr>
              <w:t>培训记录、标注规范</w:t>
            </w:r>
          </w:p>
        </w:tc>
      </w:tr>
      <w:tr w14:paraId="4841F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9E16938">
            <w:pPr>
              <w:pStyle w:val="25"/>
              <w:spacing w:before="20" w:after="20"/>
              <w:jc w:val="center"/>
            </w:pPr>
            <w:r>
              <w:rPr>
                <w:sz w:val="21"/>
              </w:rPr>
              <w:t>8.3–8.10</w:t>
            </w:r>
          </w:p>
        </w:tc>
        <w:tc>
          <w:tcPr>
            <w:tcW w:w="4082" w:type="dxa"/>
            <w:vAlign w:val="center"/>
          </w:tcPr>
          <w:p w14:paraId="16F05790">
            <w:pPr>
              <w:pStyle w:val="25"/>
              <w:spacing w:before="20" w:after="20"/>
              <w:jc w:val="left"/>
            </w:pPr>
            <w:r>
              <w:rPr>
                <w:sz w:val="21"/>
              </w:rPr>
              <w:t>集中标注（含地线线夹新类别）、双人复核</w:t>
            </w:r>
          </w:p>
        </w:tc>
        <w:tc>
          <w:tcPr>
            <w:tcW w:w="3175" w:type="dxa"/>
            <w:vAlign w:val="center"/>
          </w:tcPr>
          <w:p w14:paraId="25D512AC">
            <w:pPr>
              <w:pStyle w:val="25"/>
              <w:spacing w:before="20" w:after="20"/>
              <w:jc w:val="center"/>
            </w:pPr>
            <w:r>
              <w:rPr>
                <w:sz w:val="21"/>
              </w:rPr>
              <w:t>重构数据集初版</w:t>
            </w:r>
          </w:p>
        </w:tc>
      </w:tr>
      <w:tr w14:paraId="27BB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79F44335">
            <w:pPr>
              <w:pStyle w:val="25"/>
              <w:spacing w:before="20" w:after="20"/>
              <w:jc w:val="center"/>
            </w:pPr>
            <w:r>
              <w:rPr>
                <w:sz w:val="21"/>
              </w:rPr>
              <w:t>8.8–8.12</w:t>
            </w:r>
          </w:p>
        </w:tc>
        <w:tc>
          <w:tcPr>
            <w:tcW w:w="4082" w:type="dxa"/>
            <w:vAlign w:val="center"/>
          </w:tcPr>
          <w:p w14:paraId="43FF3B74">
            <w:pPr>
              <w:pStyle w:val="25"/>
              <w:spacing w:before="20" w:after="20"/>
              <w:jc w:val="center"/>
            </w:pPr>
            <w:r>
              <w:rPr>
                <w:sz w:val="21"/>
              </w:rPr>
              <w:t>类别均衡、数据增强、划分校验</w:t>
            </w:r>
          </w:p>
        </w:tc>
        <w:tc>
          <w:tcPr>
            <w:tcW w:w="3175" w:type="dxa"/>
            <w:vAlign w:val="center"/>
          </w:tcPr>
          <w:p w14:paraId="1A51BC43">
            <w:pPr>
              <w:pStyle w:val="25"/>
              <w:spacing w:before="20" w:after="20"/>
              <w:jc w:val="center"/>
            </w:pPr>
            <w:r>
              <w:rPr>
                <w:sz w:val="21"/>
              </w:rPr>
              <w:t>数据集 v2.0 正式版</w:t>
            </w:r>
          </w:p>
        </w:tc>
      </w:tr>
      <w:tr w14:paraId="2A19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05CF36D">
            <w:pPr>
              <w:pStyle w:val="25"/>
              <w:spacing w:before="20" w:after="20"/>
              <w:jc w:val="center"/>
            </w:pPr>
            <w:r>
              <w:rPr>
                <w:sz w:val="21"/>
              </w:rPr>
              <w:t>8.10–8.14</w:t>
            </w:r>
          </w:p>
        </w:tc>
        <w:tc>
          <w:tcPr>
            <w:tcW w:w="4082" w:type="dxa"/>
            <w:vAlign w:val="center"/>
          </w:tcPr>
          <w:p w14:paraId="6B6AB288">
            <w:pPr>
              <w:pStyle w:val="25"/>
              <w:spacing w:before="20" w:after="20"/>
              <w:jc w:val="left"/>
            </w:pPr>
            <w:r>
              <w:rPr>
                <w:sz w:val="21"/>
              </w:rPr>
              <w:t>v2.0 模型全流水线训练与评估</w:t>
            </w:r>
          </w:p>
        </w:tc>
        <w:tc>
          <w:tcPr>
            <w:tcW w:w="3175" w:type="dxa"/>
            <w:vAlign w:val="center"/>
          </w:tcPr>
          <w:p w14:paraId="53DB87A1">
            <w:pPr>
              <w:pStyle w:val="25"/>
              <w:spacing w:before="20" w:after="20"/>
              <w:jc w:val="center"/>
            </w:pPr>
            <w:r>
              <w:rPr>
                <w:sz w:val="21"/>
              </w:rPr>
              <w:t>模型 v2.0 权重、评估报告</w:t>
            </w:r>
          </w:p>
        </w:tc>
      </w:tr>
      <w:tr w14:paraId="47376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E2F6536">
            <w:pPr>
              <w:pStyle w:val="25"/>
              <w:spacing w:before="20" w:after="20"/>
              <w:jc w:val="center"/>
            </w:pPr>
            <w:r>
              <w:rPr>
                <w:sz w:val="21"/>
              </w:rPr>
              <w:t>8.15</w:t>
            </w:r>
          </w:p>
        </w:tc>
        <w:tc>
          <w:tcPr>
            <w:tcW w:w="4082" w:type="dxa"/>
            <w:vAlign w:val="center"/>
          </w:tcPr>
          <w:p w14:paraId="09D45694">
            <w:pPr>
              <w:pStyle w:val="25"/>
              <w:spacing w:before="20" w:after="20"/>
              <w:jc w:val="center"/>
            </w:pPr>
            <w:r>
              <w:rPr>
                <w:sz w:val="21"/>
              </w:rPr>
              <w:t>车载端搭载联调支持</w:t>
            </w:r>
          </w:p>
        </w:tc>
        <w:tc>
          <w:tcPr>
            <w:tcW w:w="3175" w:type="dxa"/>
            <w:vAlign w:val="center"/>
          </w:tcPr>
          <w:p w14:paraId="36486F2C">
            <w:pPr>
              <w:pStyle w:val="25"/>
              <w:spacing w:before="20" w:after="20"/>
              <w:jc w:val="center"/>
            </w:pPr>
            <w:r>
              <w:rPr>
                <w:sz w:val="21"/>
              </w:rPr>
              <w:t>联调记录、问题清单</w:t>
            </w:r>
          </w:p>
        </w:tc>
      </w:tr>
    </w:tbl>
    <w:p w14:paraId="58E6440F">
      <w:pPr>
        <w:spacing w:after="40" w:line="240" w:lineRule="auto"/>
      </w:pPr>
    </w:p>
    <w:p w14:paraId="11E3BC1A">
      <w:pPr>
        <w:pStyle w:val="22"/>
        <w:spacing w:before="120" w:after="0"/>
        <w:jc w:val="center"/>
      </w:pPr>
      <w:r>
        <w:drawing>
          <wp:inline distT="0" distB="0" distL="114300" distR="114300">
            <wp:extent cx="5183505" cy="3451860"/>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184000" cy="3452243"/>
                    </a:xfrm>
                    <a:prstGeom prst="rect">
                      <a:avLst/>
                    </a:prstGeom>
                  </pic:spPr>
                </pic:pic>
              </a:graphicData>
            </a:graphic>
          </wp:inline>
        </w:drawing>
      </w:r>
    </w:p>
    <w:p w14:paraId="345DCDE9">
      <w:pPr>
        <w:pStyle w:val="11"/>
        <w:spacing w:before="80" w:after="80"/>
      </w:pPr>
      <w:r>
        <w:t>图 2-2　总体进度计划（8—10 月）</w:t>
      </w:r>
    </w:p>
    <w:p w14:paraId="743B1AFF">
      <w:pPr>
        <w:pStyle w:val="2"/>
        <w:spacing w:before="280" w:after="160" w:line="312" w:lineRule="auto"/>
      </w:pPr>
      <w:bookmarkStart w:id="12" w:name="_Toc22528"/>
      <w:r>
        <w:rPr>
          <w:rFonts w:eastAsia="黑体"/>
        </w:rPr>
        <w:t>第三部分　9 月底前任务目标及主要完成的工作</w:t>
      </w:r>
      <w:bookmarkEnd w:id="12"/>
    </w:p>
    <w:p w14:paraId="22104C86">
      <w:pPr>
        <w:pStyle w:val="3"/>
        <w:spacing w:before="200" w:after="120" w:line="312" w:lineRule="auto"/>
      </w:pPr>
      <w:bookmarkStart w:id="13" w:name="_Toc27230"/>
      <w:r>
        <w:rPr>
          <w:rFonts w:eastAsia="黑体"/>
        </w:rPr>
        <w:t>（一）任务目标</w:t>
      </w:r>
      <w:bookmarkEnd w:id="13"/>
    </w:p>
    <w:p w14:paraId="03F5701F">
      <w:pPr>
        <w:spacing w:after="0" w:line="360" w:lineRule="auto"/>
        <w:ind w:firstLine="480" w:firstLineChars="200"/>
      </w:pPr>
      <w:r>
        <w:t>本阶段的任务目标为：</w:t>
      </w:r>
    </w:p>
    <w:p w14:paraId="040E0742">
      <w:pPr>
        <w:spacing w:after="0" w:line="360" w:lineRule="auto"/>
        <w:ind w:firstLine="480" w:firstLineChars="200"/>
      </w:pPr>
      <w:r>
        <w:t>1．</w:t>
      </w:r>
      <w:r>
        <w:rPr>
          <w:b/>
        </w:rPr>
        <w:t>识别准确率达标</w:t>
      </w:r>
      <w:r>
        <w:t>：通过持续迭代训练，使模型对</w:t>
      </w:r>
      <w:r>
        <w:rPr>
          <w:b/>
        </w:rPr>
        <w:t>大多数缺陷类别的识别准确率不低于 90%</w:t>
      </w:r>
      <w:r>
        <w:t>，满足后续验收的基本要求；</w:t>
      </w:r>
    </w:p>
    <w:p w14:paraId="05203EB7">
      <w:pPr>
        <w:spacing w:after="0" w:line="360" w:lineRule="auto"/>
        <w:ind w:firstLine="480" w:firstLineChars="200"/>
      </w:pPr>
      <w:r>
        <w:t>2．</w:t>
      </w:r>
      <w:r>
        <w:rPr>
          <w:b/>
        </w:rPr>
        <w:t>实际运营环境训练迁移</w:t>
      </w:r>
      <w:r>
        <w:t>：针对车载实际运营环境开展迁移训练，确保模型在实际搭载环境中同样保持足够可用的准确率（相对地面测试结果不出现明显下降）；</w:t>
      </w:r>
    </w:p>
    <w:p w14:paraId="17C3D9D7">
      <w:pPr>
        <w:spacing w:after="0" w:line="360" w:lineRule="auto"/>
        <w:ind w:firstLine="480" w:firstLineChars="200"/>
      </w:pPr>
      <w:r>
        <w:t>3．</w:t>
      </w:r>
      <w:r>
        <w:rPr>
          <w:b/>
        </w:rPr>
        <w:t>按期交付</w:t>
      </w:r>
      <w:r>
        <w:t>：9 月底前完成达标迭代训练，10 月上旬完成运营环境迁移训练与模型交付，支撑系统集成、部署测试与联调验收。</w:t>
      </w:r>
    </w:p>
    <w:p w14:paraId="56434225">
      <w:pPr>
        <w:pStyle w:val="3"/>
        <w:spacing w:before="200" w:after="120" w:line="312" w:lineRule="auto"/>
      </w:pPr>
      <w:bookmarkStart w:id="14" w:name="_Toc15478"/>
      <w:r>
        <w:rPr>
          <w:rFonts w:eastAsia="黑体"/>
        </w:rPr>
        <w:t>（二）持续迭代训练</w:t>
      </w:r>
      <w:bookmarkEnd w:id="14"/>
    </w:p>
    <w:p w14:paraId="202418CB">
      <w:pPr>
        <w:spacing w:after="0" w:line="360" w:lineRule="auto"/>
        <w:ind w:firstLine="480" w:firstLineChars="200"/>
      </w:pPr>
      <w:r>
        <w:t>（1）</w:t>
      </w:r>
      <w:r>
        <w:rPr>
          <w:b/>
        </w:rPr>
        <w:t>实测数据回流</w:t>
      </w:r>
      <w:r>
        <w:t>：联调与试运行期间收集车载实测图像及误报、漏检案例，经标注后纳入训练集，使训练数据贴近真实使用场景；</w:t>
      </w:r>
    </w:p>
    <w:p w14:paraId="6B5126D0">
      <w:pPr>
        <w:spacing w:after="0" w:line="360" w:lineRule="auto"/>
        <w:ind w:firstLine="480" w:firstLineChars="200"/>
      </w:pPr>
      <w:r>
        <w:t>（2）</w:t>
      </w:r>
      <w:r>
        <w:rPr>
          <w:b/>
        </w:rPr>
        <w:t>弱类别专项迭代</w:t>
      </w:r>
      <w:r>
        <w:t>：针对准确率未达标的类别开展 2～3 轮专项训练，通过补充样本、加强增强与调整训练权重逐类提升；</w:t>
      </w:r>
    </w:p>
    <w:p w14:paraId="50407875">
      <w:pPr>
        <w:spacing w:after="0" w:line="360" w:lineRule="auto"/>
        <w:ind w:firstLine="480" w:firstLineChars="200"/>
      </w:pPr>
      <w:r>
        <w:t>（3）</w:t>
      </w:r>
      <w:r>
        <w:rPr>
          <w:b/>
        </w:rPr>
        <w:t>阈值标定</w:t>
      </w:r>
      <w:r>
        <w:t>：对各类别识别置信度阈值进行标定，确定交付用工作点，在准确率与漏检之间取得满足验收要求的平衡。</w:t>
      </w:r>
    </w:p>
    <w:p w14:paraId="7728DFDE">
      <w:pPr>
        <w:pStyle w:val="3"/>
        <w:spacing w:before="200" w:after="120" w:line="312" w:lineRule="auto"/>
      </w:pPr>
      <w:bookmarkStart w:id="15" w:name="_Toc17989"/>
      <w:r>
        <w:rPr>
          <w:rFonts w:eastAsia="黑体"/>
        </w:rPr>
        <w:t>（三）实际运营环境训练迁移</w:t>
      </w:r>
      <w:bookmarkEnd w:id="15"/>
    </w:p>
    <w:p w14:paraId="101A9C6A">
      <w:pPr>
        <w:spacing w:after="0" w:line="360" w:lineRule="auto"/>
        <w:ind w:firstLine="480" w:firstLineChars="200"/>
      </w:pPr>
      <w:r>
        <w:t>车载动态采集与训练所用的车间/现场静态拍摄数据存在系统性差异：隧道 LED 补光频闪与明暗剧变、车辆运动导致的图像模糊、拍摄视角与距离变化、车体振动等。若不加处理，直接将地面数据训练的模型用于车载图像会产生性能退化，因此安排专门的迁移训练：</w:t>
      </w:r>
    </w:p>
    <w:p w14:paraId="0BA7E990">
      <w:pPr>
        <w:spacing w:after="0" w:line="360" w:lineRule="auto"/>
        <w:ind w:firstLine="480" w:firstLineChars="200"/>
      </w:pPr>
      <w:r>
        <w:t>（1）</w:t>
      </w:r>
      <w:r>
        <w:rPr>
          <w:b/>
        </w:rPr>
        <w:t>域适应精调</w:t>
      </w:r>
      <w:r>
        <w:t>：以迭代后的模型为基础，用车载实测数据做低学习率精调，纠正训练环境与部署环境之间的差异；</w:t>
      </w:r>
    </w:p>
    <w:p w14:paraId="42DD11E5">
      <w:pPr>
        <w:spacing w:after="0" w:line="360" w:lineRule="auto"/>
        <w:ind w:firstLine="480" w:firstLineChars="200"/>
      </w:pPr>
      <w:r>
        <w:t>（2）</w:t>
      </w:r>
      <w:r>
        <w:rPr>
          <w:b/>
        </w:rPr>
        <w:t>阈值重标定</w:t>
      </w:r>
      <w:r>
        <w:t>：基于实测数据分布重新标定各类别阈值，形成车载部署专用配置；</w:t>
      </w:r>
    </w:p>
    <w:p w14:paraId="0533FB31">
      <w:pPr>
        <w:spacing w:after="0" w:line="360" w:lineRule="auto"/>
        <w:ind w:firstLine="480" w:firstLineChars="200"/>
      </w:pPr>
      <w:r>
        <w:t>（3）</w:t>
      </w:r>
      <w:r>
        <w:rPr>
          <w:b/>
        </w:rPr>
        <w:t>数据闭环</w:t>
      </w:r>
      <w:r>
        <w:t>：建立“采集→复核→再训练→部署”的迭代机制，支撑验收后模型的持续优化。</w:t>
      </w:r>
    </w:p>
    <w:p w14:paraId="04253DA1">
      <w:pPr>
        <w:pStyle w:val="3"/>
        <w:spacing w:before="200" w:after="120" w:line="312" w:lineRule="auto"/>
      </w:pPr>
      <w:bookmarkStart w:id="16" w:name="_Toc5508"/>
      <w:r>
        <w:rPr>
          <w:rFonts w:eastAsia="黑体"/>
        </w:rPr>
        <w:t>（四）车载部署适配</w:t>
      </w:r>
      <w:bookmarkEnd w:id="16"/>
    </w:p>
    <w:p w14:paraId="1FFECE9A">
      <w:pPr>
        <w:spacing w:after="0" w:line="360" w:lineRule="auto"/>
        <w:ind w:firstLine="480" w:firstLineChars="200"/>
      </w:pPr>
      <w:r>
        <w:t>（1）</w:t>
      </w:r>
      <w:r>
        <w:rPr>
          <w:b/>
        </w:rPr>
        <w:t>超高分辨率图像处理</w:t>
      </w:r>
      <w:r>
        <w:t>：采用“智能切片＋并行推理＋结果融合”方案处理 1.27 亿像素全景图像，关键区域切片保留足够重叠以防跨切片漏检，识别结果统一映射回原图坐标系；</w:t>
      </w:r>
    </w:p>
    <w:p w14:paraId="030E99B7">
      <w:pPr>
        <w:spacing w:after="0" w:line="360" w:lineRule="auto"/>
        <w:ind w:firstLine="480" w:firstLineChars="200"/>
      </w:pPr>
      <w:r>
        <w:t>（2）</w:t>
      </w:r>
      <w:r>
        <w:rPr>
          <w:b/>
        </w:rPr>
        <w:t>轻量化与加速</w:t>
      </w:r>
      <w:r>
        <w:t>：车载边缘端视算力情况选用轻量化模型或推理加速，确保单张图像端到端识别时间不超过 10 s、满足实时分析要求；</w:t>
      </w:r>
    </w:p>
    <w:p w14:paraId="74AD7BE5">
      <w:pPr>
        <w:spacing w:after="0" w:line="360" w:lineRule="auto"/>
        <w:ind w:firstLine="480" w:firstLineChars="200"/>
      </w:pPr>
      <w:r>
        <w:t>（3）</w:t>
      </w:r>
      <w:r>
        <w:rPr>
          <w:b/>
        </w:rPr>
        <w:t>接口一致性</w:t>
      </w:r>
      <w:r>
        <w:t>：推理服务按联调接口规范输出缺陷编码、名称、置信度与位置等字段，支持新旧模型平滑切换。</w:t>
      </w:r>
    </w:p>
    <w:p w14:paraId="185DE82A">
      <w:pPr>
        <w:pStyle w:val="3"/>
        <w:spacing w:before="200" w:after="120" w:line="312" w:lineRule="auto"/>
      </w:pPr>
      <w:bookmarkStart w:id="17" w:name="_Toc23282"/>
      <w:r>
        <w:rPr>
          <w:rFonts w:eastAsia="黑体"/>
        </w:rPr>
        <w:t>（五）阶段二、三进度安排</w:t>
      </w:r>
      <w:bookmarkEnd w:id="17"/>
    </w:p>
    <w:p w14:paraId="5C97E381">
      <w:pPr>
        <w:pStyle w:val="11"/>
        <w:spacing w:before="80" w:after="80"/>
      </w:pPr>
      <w:r>
        <w:t>表 3-1　阶段二、三工作安排（8.16—10.15）</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9"/>
        <w:gridCol w:w="2769"/>
        <w:gridCol w:w="2769"/>
      </w:tblGrid>
      <w:tr w14:paraId="4A3C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9E2F3"/>
            <w:vAlign w:val="center"/>
          </w:tcPr>
          <w:p w14:paraId="617BDDB1">
            <w:pPr>
              <w:pStyle w:val="25"/>
              <w:spacing w:before="20" w:after="20"/>
              <w:jc w:val="center"/>
            </w:pPr>
            <w:r>
              <w:rPr>
                <w:b/>
                <w:sz w:val="21"/>
              </w:rPr>
              <w:t>时间</w:t>
            </w:r>
          </w:p>
        </w:tc>
        <w:tc>
          <w:tcPr>
            <w:tcW w:w="4082" w:type="dxa"/>
            <w:shd w:val="clear" w:color="auto" w:fill="D9E2F3"/>
            <w:vAlign w:val="center"/>
          </w:tcPr>
          <w:p w14:paraId="7E7AB4AA">
            <w:pPr>
              <w:pStyle w:val="25"/>
              <w:spacing w:before="20" w:after="20"/>
              <w:jc w:val="center"/>
            </w:pPr>
            <w:r>
              <w:rPr>
                <w:b/>
                <w:sz w:val="21"/>
              </w:rPr>
              <w:t>工作内容</w:t>
            </w:r>
          </w:p>
        </w:tc>
        <w:tc>
          <w:tcPr>
            <w:tcW w:w="3175" w:type="dxa"/>
            <w:shd w:val="clear" w:color="auto" w:fill="D9E2F3"/>
            <w:vAlign w:val="center"/>
          </w:tcPr>
          <w:p w14:paraId="17BCD67B">
            <w:pPr>
              <w:pStyle w:val="25"/>
              <w:spacing w:before="20" w:after="20"/>
              <w:jc w:val="center"/>
            </w:pPr>
            <w:r>
              <w:rPr>
                <w:b/>
                <w:sz w:val="21"/>
              </w:rPr>
              <w:t>交付物</w:t>
            </w:r>
          </w:p>
        </w:tc>
      </w:tr>
      <w:tr w14:paraId="7E77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694E1B6">
            <w:pPr>
              <w:pStyle w:val="25"/>
              <w:spacing w:before="20" w:after="20"/>
              <w:jc w:val="center"/>
            </w:pPr>
            <w:r>
              <w:rPr>
                <w:sz w:val="21"/>
              </w:rPr>
              <w:t>8.16–8.25</w:t>
            </w:r>
          </w:p>
        </w:tc>
        <w:tc>
          <w:tcPr>
            <w:tcW w:w="4082" w:type="dxa"/>
            <w:vAlign w:val="center"/>
          </w:tcPr>
          <w:p w14:paraId="4A76A64E">
            <w:pPr>
              <w:pStyle w:val="25"/>
              <w:spacing w:before="20" w:after="20"/>
              <w:jc w:val="left"/>
            </w:pPr>
            <w:r>
              <w:rPr>
                <w:sz w:val="21"/>
              </w:rPr>
              <w:t>车载实测数据回流、困难负样本挖掘</w:t>
            </w:r>
          </w:p>
        </w:tc>
        <w:tc>
          <w:tcPr>
            <w:tcW w:w="3175" w:type="dxa"/>
            <w:vAlign w:val="center"/>
          </w:tcPr>
          <w:p w14:paraId="15ABC382">
            <w:pPr>
              <w:pStyle w:val="25"/>
              <w:spacing w:before="20" w:after="20"/>
              <w:jc w:val="center"/>
            </w:pPr>
            <w:r>
              <w:rPr>
                <w:sz w:val="21"/>
              </w:rPr>
              <w:t>增量标注集、负样本库更新</w:t>
            </w:r>
          </w:p>
        </w:tc>
      </w:tr>
      <w:tr w14:paraId="13D38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74980920">
            <w:pPr>
              <w:pStyle w:val="25"/>
              <w:spacing w:before="20" w:after="20"/>
              <w:jc w:val="center"/>
            </w:pPr>
            <w:r>
              <w:rPr>
                <w:sz w:val="21"/>
              </w:rPr>
              <w:t>8.20–9.25</w:t>
            </w:r>
          </w:p>
        </w:tc>
        <w:tc>
          <w:tcPr>
            <w:tcW w:w="4082" w:type="dxa"/>
            <w:vAlign w:val="center"/>
          </w:tcPr>
          <w:p w14:paraId="7B8309FB">
            <w:pPr>
              <w:pStyle w:val="25"/>
              <w:spacing w:before="20" w:after="20"/>
              <w:jc w:val="center"/>
            </w:pPr>
            <w:r>
              <w:rPr>
                <w:sz w:val="21"/>
              </w:rPr>
              <w:t>弱类别迭代训练（2～3 轮）</w:t>
            </w:r>
          </w:p>
        </w:tc>
        <w:tc>
          <w:tcPr>
            <w:tcW w:w="3175" w:type="dxa"/>
            <w:vAlign w:val="center"/>
          </w:tcPr>
          <w:p w14:paraId="78296511">
            <w:pPr>
              <w:pStyle w:val="25"/>
              <w:spacing w:before="20" w:after="20"/>
              <w:jc w:val="center"/>
            </w:pPr>
            <w:r>
              <w:rPr>
                <w:sz w:val="21"/>
              </w:rPr>
              <w:t>模型 v2.1 / v2.2</w:t>
            </w:r>
          </w:p>
        </w:tc>
      </w:tr>
      <w:tr w14:paraId="313D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BE1C092">
            <w:pPr>
              <w:pStyle w:val="25"/>
              <w:spacing w:before="20" w:after="20"/>
              <w:jc w:val="center"/>
            </w:pPr>
            <w:r>
              <w:rPr>
                <w:sz w:val="21"/>
              </w:rPr>
              <w:t>9.10–9.30</w:t>
            </w:r>
          </w:p>
        </w:tc>
        <w:tc>
          <w:tcPr>
            <w:tcW w:w="4082" w:type="dxa"/>
            <w:vAlign w:val="center"/>
          </w:tcPr>
          <w:p w14:paraId="55277FBA">
            <w:pPr>
              <w:pStyle w:val="25"/>
              <w:spacing w:before="20" w:after="20"/>
              <w:jc w:val="center"/>
            </w:pPr>
            <w:r>
              <w:rPr>
                <w:sz w:val="21"/>
              </w:rPr>
              <w:t>阈值标定与工作点优化</w:t>
            </w:r>
          </w:p>
        </w:tc>
        <w:tc>
          <w:tcPr>
            <w:tcW w:w="3175" w:type="dxa"/>
            <w:vAlign w:val="center"/>
          </w:tcPr>
          <w:p w14:paraId="195BB68A">
            <w:pPr>
              <w:pStyle w:val="25"/>
              <w:spacing w:before="20" w:after="20"/>
              <w:jc w:val="center"/>
            </w:pPr>
            <w:r>
              <w:rPr>
                <w:sz w:val="21"/>
              </w:rPr>
              <w:t>标定参数表</w:t>
            </w:r>
          </w:p>
        </w:tc>
      </w:tr>
      <w:tr w14:paraId="2F5A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01D5DDA">
            <w:pPr>
              <w:pStyle w:val="25"/>
              <w:spacing w:before="20" w:after="20"/>
              <w:jc w:val="center"/>
            </w:pPr>
            <w:r>
              <w:rPr>
                <w:sz w:val="21"/>
              </w:rPr>
              <w:t>10.1–10.9</w:t>
            </w:r>
          </w:p>
        </w:tc>
        <w:tc>
          <w:tcPr>
            <w:tcW w:w="4082" w:type="dxa"/>
            <w:vAlign w:val="center"/>
          </w:tcPr>
          <w:p w14:paraId="4728DCC8">
            <w:pPr>
              <w:pStyle w:val="25"/>
              <w:spacing w:before="20" w:after="20"/>
              <w:jc w:val="center"/>
            </w:pPr>
            <w:r>
              <w:rPr>
                <w:sz w:val="21"/>
              </w:rPr>
              <w:t>实际运营环境迁移训练</w:t>
            </w:r>
          </w:p>
        </w:tc>
        <w:tc>
          <w:tcPr>
            <w:tcW w:w="3175" w:type="dxa"/>
            <w:vAlign w:val="center"/>
          </w:tcPr>
          <w:p w14:paraId="4ED70C86">
            <w:pPr>
              <w:pStyle w:val="25"/>
              <w:spacing w:before="20" w:after="20"/>
              <w:jc w:val="center"/>
            </w:pPr>
            <w:r>
              <w:rPr>
                <w:sz w:val="21"/>
              </w:rPr>
              <w:t>模型 v2.3（部署版）</w:t>
            </w:r>
          </w:p>
        </w:tc>
      </w:tr>
      <w:tr w14:paraId="2BBD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D1226F0">
            <w:pPr>
              <w:pStyle w:val="25"/>
              <w:spacing w:before="20" w:after="20"/>
              <w:jc w:val="center"/>
            </w:pPr>
            <w:r>
              <w:rPr>
                <w:sz w:val="21"/>
              </w:rPr>
              <w:t>10.7–10.13</w:t>
            </w:r>
          </w:p>
        </w:tc>
        <w:tc>
          <w:tcPr>
            <w:tcW w:w="4082" w:type="dxa"/>
            <w:vAlign w:val="center"/>
          </w:tcPr>
          <w:p w14:paraId="5B2CE229">
            <w:pPr>
              <w:pStyle w:val="25"/>
              <w:spacing w:before="20" w:after="20"/>
              <w:jc w:val="center"/>
            </w:pPr>
            <w:r>
              <w:rPr>
                <w:sz w:val="21"/>
              </w:rPr>
              <w:t>全线实测评估</w:t>
            </w:r>
          </w:p>
        </w:tc>
        <w:tc>
          <w:tcPr>
            <w:tcW w:w="3175" w:type="dxa"/>
            <w:vAlign w:val="center"/>
          </w:tcPr>
          <w:p w14:paraId="57D43CF7">
            <w:pPr>
              <w:pStyle w:val="25"/>
              <w:spacing w:before="20" w:after="20"/>
              <w:jc w:val="center"/>
            </w:pPr>
            <w:r>
              <w:rPr>
                <w:sz w:val="21"/>
              </w:rPr>
              <w:t>实测评估报告</w:t>
            </w:r>
          </w:p>
        </w:tc>
      </w:tr>
      <w:tr w14:paraId="1ABD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3300957D">
            <w:pPr>
              <w:pStyle w:val="25"/>
              <w:spacing w:before="20" w:after="20"/>
              <w:jc w:val="center"/>
            </w:pPr>
            <w:r>
              <w:rPr>
                <w:sz w:val="21"/>
              </w:rPr>
              <w:t>10.14–10.15</w:t>
            </w:r>
          </w:p>
        </w:tc>
        <w:tc>
          <w:tcPr>
            <w:tcW w:w="4082" w:type="dxa"/>
            <w:vAlign w:val="center"/>
          </w:tcPr>
          <w:p w14:paraId="4D8D0490">
            <w:pPr>
              <w:pStyle w:val="25"/>
              <w:spacing w:before="20" w:after="20"/>
              <w:jc w:val="center"/>
            </w:pPr>
            <w:r>
              <w:rPr>
                <w:sz w:val="21"/>
              </w:rPr>
              <w:t>模型冻结与交付</w:t>
            </w:r>
          </w:p>
        </w:tc>
        <w:tc>
          <w:tcPr>
            <w:tcW w:w="3175" w:type="dxa"/>
            <w:vAlign w:val="center"/>
          </w:tcPr>
          <w:p w14:paraId="701AA698">
            <w:pPr>
              <w:pStyle w:val="25"/>
              <w:spacing w:before="20" w:after="20"/>
              <w:jc w:val="center"/>
            </w:pPr>
            <w:r>
              <w:rPr>
                <w:sz w:val="21"/>
              </w:rPr>
              <w:t>交付包（权重＋配置＋报告）</w:t>
            </w:r>
          </w:p>
        </w:tc>
      </w:tr>
    </w:tbl>
    <w:p w14:paraId="1B0E60D6">
      <w:pPr>
        <w:spacing w:after="40" w:line="240" w:lineRule="auto"/>
      </w:pPr>
    </w:p>
    <w:p w14:paraId="2788503C">
      <w:pPr>
        <w:pStyle w:val="3"/>
        <w:spacing w:before="200" w:after="120" w:line="312" w:lineRule="auto"/>
      </w:pPr>
      <w:bookmarkStart w:id="18" w:name="_Toc17816"/>
      <w:r>
        <w:rPr>
          <w:rFonts w:eastAsia="黑体"/>
        </w:rPr>
        <w:t>（六）风险应对措施</w:t>
      </w:r>
      <w:bookmarkEnd w:id="18"/>
    </w:p>
    <w:p w14:paraId="73A0B278">
      <w:pPr>
        <w:pStyle w:val="11"/>
        <w:spacing w:before="80" w:after="80"/>
      </w:pPr>
      <w:r>
        <w:t>表 3-2　主要风险与应对措施</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9"/>
        <w:gridCol w:w="2769"/>
        <w:gridCol w:w="2769"/>
      </w:tblGrid>
      <w:tr w14:paraId="736F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shd w:val="clear" w:color="auto" w:fill="D9E2F3"/>
            <w:vAlign w:val="center"/>
          </w:tcPr>
          <w:p w14:paraId="4E84F232">
            <w:pPr>
              <w:pStyle w:val="25"/>
              <w:spacing w:before="20" w:after="20"/>
              <w:jc w:val="center"/>
            </w:pPr>
            <w:r>
              <w:rPr>
                <w:b/>
                <w:sz w:val="21"/>
              </w:rPr>
              <w:t>风险</w:t>
            </w:r>
          </w:p>
        </w:tc>
        <w:tc>
          <w:tcPr>
            <w:tcW w:w="794" w:type="dxa"/>
            <w:shd w:val="clear" w:color="auto" w:fill="D9E2F3"/>
            <w:vAlign w:val="center"/>
          </w:tcPr>
          <w:p w14:paraId="309047E4">
            <w:pPr>
              <w:pStyle w:val="25"/>
              <w:spacing w:before="20" w:after="20"/>
              <w:jc w:val="center"/>
            </w:pPr>
            <w:r>
              <w:rPr>
                <w:b/>
                <w:sz w:val="21"/>
              </w:rPr>
              <w:t>等级</w:t>
            </w:r>
          </w:p>
        </w:tc>
        <w:tc>
          <w:tcPr>
            <w:tcW w:w="4989" w:type="dxa"/>
            <w:shd w:val="clear" w:color="auto" w:fill="D9E2F3"/>
            <w:vAlign w:val="center"/>
          </w:tcPr>
          <w:p w14:paraId="28BFA057">
            <w:pPr>
              <w:pStyle w:val="25"/>
              <w:spacing w:before="20" w:after="20"/>
              <w:jc w:val="center"/>
            </w:pPr>
            <w:r>
              <w:rPr>
                <w:b/>
                <w:sz w:val="21"/>
              </w:rPr>
              <w:t>应对措施</w:t>
            </w:r>
          </w:p>
        </w:tc>
      </w:tr>
      <w:tr w14:paraId="5781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vAlign w:val="center"/>
          </w:tcPr>
          <w:p w14:paraId="6E64D775">
            <w:pPr>
              <w:pStyle w:val="25"/>
              <w:spacing w:before="20" w:after="20"/>
              <w:jc w:val="left"/>
            </w:pPr>
            <w:r>
              <w:rPr>
                <w:sz w:val="21"/>
              </w:rPr>
              <w:t>地线线夹样本采集困难（现场拍摄窗口受限）</w:t>
            </w:r>
          </w:p>
        </w:tc>
        <w:tc>
          <w:tcPr>
            <w:tcW w:w="794" w:type="dxa"/>
            <w:vAlign w:val="center"/>
          </w:tcPr>
          <w:p w14:paraId="79B6BC78">
            <w:pPr>
              <w:pStyle w:val="25"/>
              <w:spacing w:before="20" w:after="20"/>
              <w:jc w:val="center"/>
            </w:pPr>
            <w:r>
              <w:rPr>
                <w:sz w:val="21"/>
              </w:rPr>
              <w:t>高</w:t>
            </w:r>
          </w:p>
        </w:tc>
        <w:tc>
          <w:tcPr>
            <w:tcW w:w="4989" w:type="dxa"/>
            <w:vAlign w:val="center"/>
          </w:tcPr>
          <w:p w14:paraId="66C262D2">
            <w:pPr>
              <w:pStyle w:val="25"/>
              <w:spacing w:before="20" w:after="20"/>
              <w:jc w:val="left"/>
            </w:pPr>
            <w:r>
              <w:rPr>
                <w:sz w:val="21"/>
              </w:rPr>
              <w:t>与业主协调安排场段专项拍摄；若确实无法足额获取，该 4 类采用“少量样本＋强增强”方案并列入后续迭代，需经甲方确认</w:t>
            </w:r>
          </w:p>
        </w:tc>
      </w:tr>
      <w:tr w14:paraId="79D4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vAlign w:val="center"/>
          </w:tcPr>
          <w:p w14:paraId="01BA448E">
            <w:pPr>
              <w:pStyle w:val="25"/>
              <w:spacing w:before="20" w:after="20"/>
              <w:jc w:val="left"/>
            </w:pPr>
            <w:r>
              <w:rPr>
                <w:sz w:val="21"/>
              </w:rPr>
              <w:t>标注工期紧张（3800 余张需在 10 天内完成）</w:t>
            </w:r>
          </w:p>
        </w:tc>
        <w:tc>
          <w:tcPr>
            <w:tcW w:w="794" w:type="dxa"/>
            <w:vAlign w:val="center"/>
          </w:tcPr>
          <w:p w14:paraId="3FE445C9">
            <w:pPr>
              <w:pStyle w:val="25"/>
              <w:spacing w:before="20" w:after="20"/>
              <w:jc w:val="center"/>
            </w:pPr>
            <w:r>
              <w:rPr>
                <w:sz w:val="21"/>
              </w:rPr>
              <w:t>高</w:t>
            </w:r>
          </w:p>
        </w:tc>
        <w:tc>
          <w:tcPr>
            <w:tcW w:w="4989" w:type="dxa"/>
            <w:vAlign w:val="center"/>
          </w:tcPr>
          <w:p w14:paraId="629A918F">
            <w:pPr>
              <w:pStyle w:val="25"/>
              <w:spacing w:before="20" w:after="20"/>
              <w:jc w:val="left"/>
            </w:pPr>
            <w:r>
              <w:rPr>
                <w:sz w:val="21"/>
              </w:rPr>
              <w:t>增派标注人员；采用现有模型预标注＋人工修正模式提效；优先保证高价值图像质量</w:t>
            </w:r>
          </w:p>
        </w:tc>
      </w:tr>
      <w:tr w14:paraId="24FE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vAlign w:val="center"/>
          </w:tcPr>
          <w:p w14:paraId="2E291E9F">
            <w:pPr>
              <w:pStyle w:val="25"/>
              <w:spacing w:before="20" w:after="20"/>
              <w:jc w:val="center"/>
            </w:pPr>
            <w:r>
              <w:rPr>
                <w:sz w:val="21"/>
              </w:rPr>
              <w:t>准确率达标进度滞后</w:t>
            </w:r>
          </w:p>
        </w:tc>
        <w:tc>
          <w:tcPr>
            <w:tcW w:w="794" w:type="dxa"/>
            <w:vAlign w:val="center"/>
          </w:tcPr>
          <w:p w14:paraId="18CAE7F6">
            <w:pPr>
              <w:pStyle w:val="25"/>
              <w:spacing w:before="20" w:after="20"/>
              <w:jc w:val="center"/>
            </w:pPr>
            <w:r>
              <w:rPr>
                <w:sz w:val="21"/>
              </w:rPr>
              <w:t>中</w:t>
            </w:r>
          </w:p>
        </w:tc>
        <w:tc>
          <w:tcPr>
            <w:tcW w:w="4989" w:type="dxa"/>
            <w:vAlign w:val="center"/>
          </w:tcPr>
          <w:p w14:paraId="4C71E756">
            <w:pPr>
              <w:pStyle w:val="25"/>
              <w:spacing w:before="20" w:after="20"/>
              <w:jc w:val="left"/>
            </w:pPr>
            <w:r>
              <w:rPr>
                <w:sz w:val="21"/>
              </w:rPr>
              <w:t>实行周评估例会制度、指标预警；备选方案包括相近类别合并报警与阈值工作点调整</w:t>
            </w:r>
          </w:p>
        </w:tc>
      </w:tr>
      <w:tr w14:paraId="6467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vAlign w:val="center"/>
          </w:tcPr>
          <w:p w14:paraId="09B68256">
            <w:pPr>
              <w:pStyle w:val="25"/>
              <w:spacing w:before="20" w:after="20"/>
              <w:jc w:val="center"/>
            </w:pPr>
            <w:r>
              <w:rPr>
                <w:sz w:val="21"/>
              </w:rPr>
              <w:t>车载环境与训练数据差异大于预期</w:t>
            </w:r>
          </w:p>
        </w:tc>
        <w:tc>
          <w:tcPr>
            <w:tcW w:w="794" w:type="dxa"/>
            <w:vAlign w:val="center"/>
          </w:tcPr>
          <w:p w14:paraId="4E3946F4">
            <w:pPr>
              <w:pStyle w:val="25"/>
              <w:spacing w:before="20" w:after="20"/>
              <w:jc w:val="center"/>
            </w:pPr>
            <w:r>
              <w:rPr>
                <w:sz w:val="21"/>
              </w:rPr>
              <w:t>中</w:t>
            </w:r>
          </w:p>
        </w:tc>
        <w:tc>
          <w:tcPr>
            <w:tcW w:w="4989" w:type="dxa"/>
            <w:vAlign w:val="center"/>
          </w:tcPr>
          <w:p w14:paraId="22B0C405">
            <w:pPr>
              <w:pStyle w:val="25"/>
              <w:spacing w:before="20" w:after="20"/>
              <w:jc w:val="left"/>
            </w:pPr>
            <w:r>
              <w:rPr>
                <w:sz w:val="21"/>
              </w:rPr>
              <w:t>联调阶段提前采集实测数据；预留 10 月上旬迁移训练窗口</w:t>
            </w:r>
          </w:p>
        </w:tc>
      </w:tr>
      <w:tr w14:paraId="23AB8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vAlign w:val="center"/>
          </w:tcPr>
          <w:p w14:paraId="3B6C44F5">
            <w:pPr>
              <w:pStyle w:val="25"/>
              <w:spacing w:before="20" w:after="20"/>
              <w:jc w:val="center"/>
            </w:pPr>
            <w:r>
              <w:rPr>
                <w:sz w:val="21"/>
              </w:rPr>
              <w:t>算力资源不足</w:t>
            </w:r>
          </w:p>
        </w:tc>
        <w:tc>
          <w:tcPr>
            <w:tcW w:w="794" w:type="dxa"/>
            <w:vAlign w:val="center"/>
          </w:tcPr>
          <w:p w14:paraId="50FD0CA6">
            <w:pPr>
              <w:pStyle w:val="25"/>
              <w:spacing w:before="20" w:after="20"/>
              <w:jc w:val="center"/>
            </w:pPr>
            <w:r>
              <w:rPr>
                <w:sz w:val="21"/>
              </w:rPr>
              <w:t>低</w:t>
            </w:r>
          </w:p>
        </w:tc>
        <w:tc>
          <w:tcPr>
            <w:tcW w:w="4989" w:type="dxa"/>
            <w:vAlign w:val="center"/>
          </w:tcPr>
          <w:p w14:paraId="37D289F6">
            <w:pPr>
              <w:pStyle w:val="25"/>
              <w:spacing w:before="20" w:after="20"/>
              <w:jc w:val="left"/>
            </w:pPr>
            <w:r>
              <w:rPr>
                <w:sz w:val="21"/>
              </w:rPr>
              <w:t>训练 GPU 专用保障，训练任务错峰排程</w:t>
            </w:r>
          </w:p>
        </w:tc>
      </w:tr>
    </w:tbl>
    <w:p w14:paraId="4D41F16D">
      <w:pPr>
        <w:spacing w:after="40" w:line="240" w:lineRule="auto"/>
      </w:pPr>
    </w:p>
    <w:p w14:paraId="76C5FAC0">
      <w:pPr>
        <w:pStyle w:val="3"/>
        <w:spacing w:before="200" w:after="120" w:line="312" w:lineRule="auto"/>
      </w:pPr>
      <w:bookmarkStart w:id="19" w:name="_Toc6019"/>
      <w:r>
        <w:rPr>
          <w:rFonts w:eastAsia="黑体"/>
        </w:rPr>
        <w:t>（七）预期交付物</w:t>
      </w:r>
      <w:bookmarkEnd w:id="19"/>
    </w:p>
    <w:p w14:paraId="4AF27741">
      <w:pPr>
        <w:spacing w:after="0" w:line="360" w:lineRule="auto"/>
        <w:ind w:firstLine="480" w:firstLineChars="200"/>
      </w:pPr>
      <w:r>
        <w:t>至本计划周期结束（10 月中旬）时交付：</w:t>
      </w:r>
    </w:p>
    <w:p w14:paraId="296A2951">
      <w:pPr>
        <w:spacing w:after="0" w:line="360" w:lineRule="auto"/>
        <w:ind w:firstLine="480" w:firstLineChars="200"/>
      </w:pPr>
      <w:r>
        <w:t>1．重构缺陷数据集 v2.0（含标注与质检记录）及标注规范；</w:t>
      </w:r>
    </w:p>
    <w:p w14:paraId="26F9C7F8">
      <w:pPr>
        <w:spacing w:after="0" w:line="360" w:lineRule="auto"/>
        <w:ind w:firstLine="480" w:firstLineChars="200"/>
      </w:pPr>
      <w:r>
        <w:t>2．模型权重 v2.0（联调版）与 v2.x（含车载部署版）及训练配置；</w:t>
      </w:r>
    </w:p>
    <w:p w14:paraId="61FC6974">
      <w:pPr>
        <w:spacing w:after="0" w:line="360" w:lineRule="auto"/>
        <w:ind w:firstLine="480" w:firstLineChars="200"/>
      </w:pPr>
      <w:r>
        <w:t>3．各轮训练评估报告与阈值标定表；</w:t>
      </w:r>
    </w:p>
    <w:p w14:paraId="20471BF6">
      <w:pPr>
        <w:spacing w:after="0" w:line="360" w:lineRule="auto"/>
        <w:ind w:firstLine="480" w:firstLineChars="200"/>
      </w:pPr>
      <w:r>
        <w:t>4．迁移训练记录与全线实测评估报告；</w:t>
      </w:r>
    </w:p>
    <w:p w14:paraId="2A010A0A">
      <w:pPr>
        <w:spacing w:after="0" w:line="360" w:lineRule="auto"/>
        <w:ind w:firstLine="480" w:firstLineChars="200"/>
      </w:pPr>
      <w:r>
        <w:t>5．更新后的模型输出与缺陷类型对照文档。</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393D83"/>
    <w:rsid w:val="23E43764"/>
    <w:rsid w:val="29393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0" w:firstLineChars="200"/>
      <w:jc w:val="both"/>
    </w:pPr>
    <w:rPr>
      <w:rFonts w:ascii="Arial" w:hAnsi="Arial" w:eastAsia="宋体" w:cs="Times New Roman"/>
      <w:kern w:val="2"/>
      <w:sz w:val="24"/>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ind w:firstLine="0" w:firstLineChars="0"/>
      <w:jc w:val="center"/>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link w:val="21"/>
    <w:unhideWhenUsed/>
    <w:qFormat/>
    <w:uiPriority w:val="0"/>
    <w:pPr>
      <w:spacing w:line="360" w:lineRule="auto"/>
      <w:outlineLvl w:val="3"/>
    </w:pPr>
    <w:rPr>
      <w:rFonts w:ascii="Arial" w:hAnsi="Arial"/>
      <w:b/>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tblPr>
      <w:tblCellMar>
        <w:top w:w="0" w:type="dxa"/>
        <w:left w:w="108" w:type="dxa"/>
        <w:bottom w:w="0" w:type="dxa"/>
        <w:right w:w="108" w:type="dxa"/>
      </w:tblCellMar>
    </w:tblPr>
  </w:style>
  <w:style w:type="paragraph" w:styleId="11">
    <w:name w:val="caption"/>
    <w:basedOn w:val="1"/>
    <w:next w:val="1"/>
    <w:link w:val="23"/>
    <w:unhideWhenUsed/>
    <w:qFormat/>
    <w:uiPriority w:val="0"/>
    <w:pPr>
      <w:jc w:val="center"/>
    </w:pPr>
    <w:rPr>
      <w:rFonts w:ascii="Arial" w:hAnsi="Arial" w:eastAsia="黑体"/>
      <w:sz w:val="20"/>
    </w:rPr>
  </w:style>
  <w:style w:type="paragraph" w:styleId="12">
    <w:name w:val="annotation text"/>
    <w:basedOn w:val="1"/>
    <w:qFormat/>
    <w:uiPriority w:val="0"/>
    <w:pPr>
      <w:jc w:val="left"/>
    </w:pPr>
  </w:style>
  <w:style w:type="paragraph" w:styleId="13">
    <w:name w:val="toc 1"/>
    <w:basedOn w:val="1"/>
    <w:next w:val="1"/>
    <w:uiPriority w:val="0"/>
  </w:style>
  <w:style w:type="paragraph" w:styleId="14">
    <w:name w:val="toc 2"/>
    <w:basedOn w:val="1"/>
    <w:next w:val="1"/>
    <w:uiPriority w:val="0"/>
    <w:pPr>
      <w:ind w:left="420" w:leftChars="200"/>
    </w:p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qFormat/>
    <w:uiPriority w:val="0"/>
    <w:rPr>
      <w:color w:val="0000FF"/>
      <w:u w:val="single"/>
    </w:rPr>
  </w:style>
  <w:style w:type="character" w:customStyle="1" w:styleId="21">
    <w:name w:val="标题 4 Char"/>
    <w:link w:val="5"/>
    <w:qFormat/>
    <w:uiPriority w:val="0"/>
    <w:rPr>
      <w:rFonts w:ascii="Arial" w:hAnsi="Arial"/>
      <w:b/>
    </w:rPr>
  </w:style>
  <w:style w:type="paragraph" w:customStyle="1" w:styleId="22">
    <w:name w:val="插图"/>
    <w:basedOn w:val="1"/>
    <w:qFormat/>
    <w:uiPriority w:val="0"/>
    <w:pPr>
      <w:ind w:firstLine="0" w:firstLineChars="0"/>
      <w:jc w:val="center"/>
    </w:pPr>
    <w:rPr>
      <w:rFonts w:ascii="Arial" w:hAnsi="Arial"/>
    </w:rPr>
  </w:style>
  <w:style w:type="character" w:customStyle="1" w:styleId="23">
    <w:name w:val="题注 Char"/>
    <w:link w:val="11"/>
    <w:qFormat/>
    <w:uiPriority w:val="0"/>
    <w:rPr>
      <w:rFonts w:ascii="Arial" w:hAnsi="Arial" w:eastAsia="黑体"/>
      <w:sz w:val="20"/>
    </w:rPr>
  </w:style>
  <w:style w:type="paragraph" w:customStyle="1" w:styleId="24">
    <w:name w:val="参考文献"/>
    <w:basedOn w:val="1"/>
    <w:qFormat/>
    <w:uiPriority w:val="0"/>
    <w:pPr>
      <w:wordWrap w:val="0"/>
      <w:autoSpaceDE w:val="0"/>
      <w:autoSpaceDN w:val="0"/>
      <w:ind w:left="480" w:hanging="480" w:hangingChars="200"/>
    </w:pPr>
    <w:rPr>
      <w:rFonts w:ascii="Arial" w:hAnsi="Arial"/>
    </w:rPr>
  </w:style>
  <w:style w:type="paragraph" w:customStyle="1" w:styleId="25">
    <w:name w:val="表格文字"/>
    <w:basedOn w:val="1"/>
    <w:qFormat/>
    <w:uiPriority w:val="0"/>
    <w:pPr>
      <w:spacing w:line="240" w:lineRule="auto"/>
      <w:ind w:firstLine="0" w:firstLineChars="0"/>
      <w:jc w:val="center"/>
    </w:pPr>
    <w:rPr>
      <w:rFonts w:hint="eastAsia"/>
      <w:color w:val="00000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5085</Words>
  <Characters>5768</Characters>
  <Lines>0</Lines>
  <Paragraphs>0</Paragraphs>
  <TotalTime>0</TotalTime>
  <ScaleCrop>false</ScaleCrop>
  <LinksUpToDate>false</LinksUpToDate>
  <CharactersWithSpaces>6028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2026-05-06T03:24:00Z</dcterms:created>
  <dc:creator>刘正源</dc:creator>
  <cp:lastModifiedBy>刘正源</cp:lastModifiedBy>
  <dcterms:modified xsi:type="dcterms:W3CDTF">2026-08-03T08:53:34Z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9C2423BA261349A08C922DDDF7301D34_11</vt:lpwstr>
  </property>
  <property fmtid="{D5CDD505-2E9C-101B-9397-08002B2CF9AE}" pid="4" name="KSOTemplateDocerSaveRecord">
    <vt:lpwstr>eyJoZGlkIjoiNjViNjE1MTRjNzFmZWI5M2JiNDUyY2VkNDc0ZDI5MTQiLCJ1c2VySWQiOiIxNjQ3NDUxODY5In0=</vt:lpwstr>
  </property>
</Properties>
</file>