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PURSIO</w:t>
      </w:r>
    </w:p>
    <w:p>
      <w:pPr>
        <w:jc w:val="center"/>
      </w:pPr>
      <w:r>
        <w:rPr>
          <w:b/>
          <w:sz w:val="28"/>
        </w:rPr>
        <w:t>UI/UX DESIGN SYSTEM &amp; IMPLEMENTATION SPECIFICATION</w:t>
      </w:r>
    </w:p>
    <w:p>
      <w:pPr>
        <w:jc w:val="center"/>
      </w:pPr>
      <w:r>
        <w:t>v1.0 • Agent-ready design contract • Desktop + Mobile • Light-first</w:t>
      </w:r>
    </w:p>
    <w:p/>
    <w:p>
      <w:pPr>
        <w:jc w:val="center"/>
      </w:pPr>
      <w:r>
        <w:rPr>
          <w:i/>
        </w:rPr>
        <w:t>Purpose: Give a coding/design agent enough constraints to build Pursio consistently without inventing visual rules.</w:t>
      </w:r>
    </w:p>
    <w:p>
      <w:r>
        <w:br w:type="page"/>
      </w:r>
    </w:p>
    <w:p>
      <w:pPr>
        <w:pStyle w:val="Heading1"/>
      </w:pPr>
      <w:r>
        <w:t>1. Design Mission</w:t>
      </w:r>
    </w:p>
    <w:p>
      <w:r>
        <w:t>Pursio is an autonomous opportunity agent. The interface must communicate trust, control, intelligence and momentum. It is not a job-board clone, a generic CRM, or an 'AI magic' demo. The user must always understand what Pursio found, why it made a decision, what it did, what happened afterward, and where human attention is required.</w:t>
      </w:r>
    </w:p>
    <w:p>
      <w:pPr>
        <w:pStyle w:val="Heading2"/>
      </w:pPr>
      <w:r>
        <w:t>1.1 Product personality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UI implication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Calm</w:t>
            </w:r>
          </w:p>
        </w:tc>
        <w:tc>
          <w:tcPr>
            <w:tcW w:type="dxa" w:w="5112"/>
            <w:vAlign w:val="top"/>
          </w:tcPr>
          <w:p>
            <w:r>
              <w:t>Low visual noise, neutral surfaces, restrained color, minimal motion.</w:t>
            </w:r>
          </w:p>
        </w:tc>
      </w:tr>
      <w:tr>
        <w:tc>
          <w:tcPr>
            <w:tcW w:type="dxa" w:w="5112"/>
            <w:vAlign w:val="top"/>
          </w:tcPr>
          <w:p>
            <w:r>
              <w:t>Intelligent</w:t>
            </w:r>
          </w:p>
        </w:tc>
        <w:tc>
          <w:tcPr>
            <w:tcW w:type="dxa" w:w="5112"/>
            <w:vAlign w:val="top"/>
          </w:tcPr>
          <w:p>
            <w:r>
              <w:t>Strong information hierarchy, contextual reasoning, useful summaries.</w:t>
            </w:r>
          </w:p>
        </w:tc>
      </w:tr>
      <w:tr>
        <w:tc>
          <w:tcPr>
            <w:tcW w:type="dxa" w:w="5112"/>
            <w:vAlign w:val="top"/>
          </w:tcPr>
          <w:p>
            <w:r>
              <w:t>Precise</w:t>
            </w:r>
          </w:p>
        </w:tc>
        <w:tc>
          <w:tcPr>
            <w:tcW w:type="dxa" w:w="5112"/>
            <w:vAlign w:val="top"/>
          </w:tcPr>
          <w:p>
            <w:r>
              <w:t>Aligned grids, compact data presentation, explicit labels and states.</w:t>
            </w:r>
          </w:p>
        </w:tc>
      </w:tr>
      <w:tr>
        <w:tc>
          <w:tcPr>
            <w:tcW w:type="dxa" w:w="5112"/>
            <w:vAlign w:val="top"/>
          </w:tcPr>
          <w:p>
            <w:r>
              <w:t>Autonomous</w:t>
            </w:r>
          </w:p>
        </w:tc>
        <w:tc>
          <w:tcPr>
            <w:tcW w:type="dxa" w:w="5112"/>
            <w:vAlign w:val="top"/>
          </w:tcPr>
          <w:p>
            <w:r>
              <w:t>Visible agent state, event stream, progress and action history.</w:t>
            </w:r>
          </w:p>
        </w:tc>
      </w:tr>
      <w:tr>
        <w:tc>
          <w:tcPr>
            <w:tcW w:type="dxa" w:w="5112"/>
            <w:vAlign w:val="top"/>
          </w:tcPr>
          <w:p>
            <w:r>
              <w:t>Trustworthy</w:t>
            </w:r>
          </w:p>
        </w:tc>
        <w:tc>
          <w:tcPr>
            <w:tcW w:type="dxa" w:w="5112"/>
            <w:vAlign w:val="top"/>
          </w:tcPr>
          <w:p>
            <w:r>
              <w:t>Explain decisions, preserve user control, expose uncertainty and failures.</w:t>
            </w:r>
          </w:p>
        </w:tc>
      </w:tr>
    </w:tbl>
    <w:p>
      <w:pPr>
        <w:pStyle w:val="Heading2"/>
      </w:pPr>
      <w:r>
        <w:t>1.2 Core UX hierarchy</w:t>
      </w:r>
    </w:p>
    <w:p>
      <w:r>
        <w:t>Design information priority in this order: Needs Attention → High-value Opportunities → Conversations/Replies → Agent Activity → Analytics → Configuration.</w:t>
      </w:r>
    </w:p>
    <w:p>
      <w:pPr>
        <w:pStyle w:val="Heading2"/>
      </w:pPr>
      <w:r>
        <w:t>1.3 Anti-patterns — DO NOT implement</w:t>
      </w:r>
    </w:p>
    <w:p>
      <w:pPr>
        <w:pStyle w:val="ListBullet"/>
      </w:pPr>
      <w:r>
        <w:t>Do not make the primary experience a chatbot.</w:t>
      </w:r>
    </w:p>
    <w:p>
      <w:pPr>
        <w:pStyle w:val="ListBullet"/>
      </w:pPr>
      <w:r>
        <w:t>Do not use purple/blue gradients as generic AI decoration.</w:t>
      </w:r>
    </w:p>
    <w:p>
      <w:pPr>
        <w:pStyle w:val="ListBullet"/>
      </w:pPr>
      <w:r>
        <w:t>Do not use glassmorphism as the default surface treatment.</w:t>
      </w:r>
    </w:p>
    <w:p>
      <w:pPr>
        <w:pStyle w:val="ListBullet"/>
      </w:pPr>
      <w:r>
        <w:t>Do not make every section a floating card.</w:t>
      </w:r>
    </w:p>
    <w:p>
      <w:pPr>
        <w:pStyle w:val="ListBullet"/>
      </w:pPr>
      <w:r>
        <w:t>Do not add charts merely because this is a dashboard.</w:t>
      </w:r>
    </w:p>
    <w:p>
      <w:pPr>
        <w:pStyle w:val="ListBullet"/>
      </w:pPr>
      <w:r>
        <w:t>Do not use color alone to communicate state.</w:t>
      </w:r>
    </w:p>
    <w:p>
      <w:pPr>
        <w:pStyle w:val="ListBullet"/>
      </w:pPr>
      <w:r>
        <w:t>Do not hide autonomous actions behind vague messages such as 'AI handled it'.</w:t>
      </w:r>
    </w:p>
    <w:p>
      <w:pPr>
        <w:pStyle w:val="ListBullet"/>
      </w:pPr>
      <w:r>
        <w:t>Do not create giant pill-shaped controls everywhere.</w:t>
      </w:r>
    </w:p>
    <w:p>
      <w:pPr>
        <w:pStyle w:val="ListBullet"/>
      </w:pPr>
      <w:r>
        <w:t>Do not use excessive shadows, neon glows, animated particles or bouncing AI orbs.</w:t>
      </w:r>
    </w:p>
    <w:p>
      <w:pPr>
        <w:pStyle w:val="ListBullet"/>
      </w:pPr>
      <w:r>
        <w:t>Do not invent new colors, spacing, radii or typography outside this specification.</w:t>
      </w:r>
    </w:p>
    <w:p>
      <w:pPr>
        <w:pStyle w:val="Heading1"/>
      </w:pPr>
      <w:r>
        <w:t>2. Layout System</w:t>
      </w:r>
    </w:p>
    <w:p>
      <w:pPr>
        <w:pStyle w:val="Heading2"/>
      </w:pPr>
      <w:r>
        <w:t>2.1 Desktop application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Minimum supported desktop</w:t>
            </w:r>
          </w:p>
        </w:tc>
        <w:tc>
          <w:tcPr>
            <w:tcW w:type="dxa" w:w="5112"/>
            <w:vAlign w:val="top"/>
          </w:tcPr>
          <w:p>
            <w:r>
              <w:t>1024px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design width</w:t>
            </w:r>
          </w:p>
        </w:tc>
        <w:tc>
          <w:tcPr>
            <w:tcW w:type="dxa" w:w="5112"/>
            <w:vAlign w:val="top"/>
          </w:tcPr>
          <w:p>
            <w:r>
              <w:t>1440px</w:t>
            </w:r>
          </w:p>
        </w:tc>
      </w:tr>
      <w:tr>
        <w:tc>
          <w:tcPr>
            <w:tcW w:type="dxa" w:w="5112"/>
            <w:vAlign w:val="top"/>
          </w:tcPr>
          <w:p>
            <w:r>
              <w:t>Sidebar</w:t>
            </w:r>
          </w:p>
        </w:tc>
        <w:tc>
          <w:tcPr>
            <w:tcW w:type="dxa" w:w="5112"/>
            <w:vAlign w:val="top"/>
          </w:tcPr>
          <w:p>
            <w:r>
              <w:t>232px expanded; optional 72px collapsed</w:t>
            </w:r>
          </w:p>
        </w:tc>
      </w:tr>
      <w:tr>
        <w:tc>
          <w:tcPr>
            <w:tcW w:type="dxa" w:w="5112"/>
            <w:vAlign w:val="top"/>
          </w:tcPr>
          <w:p>
            <w:r>
              <w:t>Top bar</w:t>
            </w:r>
          </w:p>
        </w:tc>
        <w:tc>
          <w:tcPr>
            <w:tcW w:type="dxa" w:w="5112"/>
            <w:vAlign w:val="top"/>
          </w:tcPr>
          <w:p>
            <w:r>
              <w:t>64px height</w:t>
            </w:r>
          </w:p>
        </w:tc>
      </w:tr>
      <w:tr>
        <w:tc>
          <w:tcPr>
            <w:tcW w:type="dxa" w:w="5112"/>
            <w:vAlign w:val="top"/>
          </w:tcPr>
          <w:p>
            <w:r>
              <w:t>Content padding</w:t>
            </w:r>
          </w:p>
        </w:tc>
        <w:tc>
          <w:tcPr>
            <w:tcW w:type="dxa" w:w="5112"/>
            <w:vAlign w:val="top"/>
          </w:tcPr>
          <w:p>
            <w:r>
              <w:t>32px at ≥1280px; 24px at 1024–1279px</w:t>
            </w:r>
          </w:p>
        </w:tc>
      </w:tr>
      <w:tr>
        <w:tc>
          <w:tcPr>
            <w:tcW w:type="dxa" w:w="5112"/>
            <w:vAlign w:val="top"/>
          </w:tcPr>
          <w:p>
            <w:r>
              <w:t>Content max width</w:t>
            </w:r>
          </w:p>
        </w:tc>
        <w:tc>
          <w:tcPr>
            <w:tcW w:type="dxa" w:w="5112"/>
            <w:vAlign w:val="top"/>
          </w:tcPr>
          <w:p>
            <w:r>
              <w:t>No artificial max for tables; editorial/detail content may cap at ~960px</w:t>
            </w:r>
          </w:p>
        </w:tc>
      </w:tr>
      <w:tr>
        <w:tc>
          <w:tcPr>
            <w:tcW w:type="dxa" w:w="5112"/>
            <w:vAlign w:val="top"/>
          </w:tcPr>
          <w:p>
            <w:r>
              <w:t>Detail drawer</w:t>
            </w:r>
          </w:p>
        </w:tc>
        <w:tc>
          <w:tcPr>
            <w:tcW w:type="dxa" w:w="5112"/>
            <w:vAlign w:val="top"/>
          </w:tcPr>
          <w:p>
            <w:r>
              <w:t>420–480px; max ~42vw</w:t>
            </w:r>
          </w:p>
        </w:tc>
      </w:tr>
      <w:tr>
        <w:tc>
          <w:tcPr>
            <w:tcW w:type="dxa" w:w="5112"/>
            <w:vAlign w:val="top"/>
          </w:tcPr>
          <w:p>
            <w:r>
              <w:t>Grid</w:t>
            </w:r>
          </w:p>
        </w:tc>
        <w:tc>
          <w:tcPr>
            <w:tcW w:type="dxa" w:w="5112"/>
            <w:vAlign w:val="top"/>
          </w:tcPr>
          <w:p>
            <w:r>
              <w:t>12-column conceptual grid; 24px gutters</w:t>
            </w:r>
          </w:p>
        </w:tc>
      </w:tr>
    </w:tbl>
    <w:p>
      <w:r>
        <w:t>Shell: fixed left navigation + top utility bar + scrollable workspace. Tables/lists own the horizontal space. A right detail drawer may overlay or reserve space depending on viewport.</w:t>
      </w:r>
    </w:p>
    <w:p>
      <w:pPr>
        <w:pStyle w:val="Heading2"/>
      </w:pPr>
      <w:r>
        <w:t>2.2 Breakpoints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sm</w:t>
            </w:r>
          </w:p>
        </w:tc>
        <w:tc>
          <w:tcPr>
            <w:tcW w:type="dxa" w:w="3408"/>
            <w:vAlign w:val="top"/>
          </w:tcPr>
          <w:p>
            <w:r>
              <w:t>640px</w:t>
            </w:r>
          </w:p>
        </w:tc>
        <w:tc>
          <w:tcPr>
            <w:tcW w:type="dxa" w:w="3408"/>
            <w:vAlign w:val="top"/>
          </w:tcPr>
          <w:p>
            <w:r>
              <w:t>Mobile refinements</w:t>
            </w:r>
          </w:p>
        </w:tc>
      </w:tr>
      <w:tr>
        <w:tc>
          <w:tcPr>
            <w:tcW w:type="dxa" w:w="3408"/>
            <w:vAlign w:val="top"/>
          </w:tcPr>
          <w:p>
            <w:r>
              <w:t>md</w:t>
            </w:r>
          </w:p>
        </w:tc>
        <w:tc>
          <w:tcPr>
            <w:tcW w:type="dxa" w:w="3408"/>
            <w:vAlign w:val="top"/>
          </w:tcPr>
          <w:p>
            <w:r>
              <w:t>768px</w:t>
            </w:r>
          </w:p>
        </w:tc>
        <w:tc>
          <w:tcPr>
            <w:tcW w:type="dxa" w:w="3408"/>
            <w:vAlign w:val="top"/>
          </w:tcPr>
          <w:p>
            <w:r>
              <w:t>Tablet; side panels become overlays</w:t>
            </w:r>
          </w:p>
        </w:tc>
      </w:tr>
      <w:tr>
        <w:tc>
          <w:tcPr>
            <w:tcW w:type="dxa" w:w="3408"/>
            <w:vAlign w:val="top"/>
          </w:tcPr>
          <w:p>
            <w:r>
              <w:t>lg</w:t>
            </w:r>
          </w:p>
        </w:tc>
        <w:tc>
          <w:tcPr>
            <w:tcW w:type="dxa" w:w="3408"/>
            <w:vAlign w:val="top"/>
          </w:tcPr>
          <w:p>
            <w:r>
              <w:t>1024px</w:t>
            </w:r>
          </w:p>
        </w:tc>
        <w:tc>
          <w:tcPr>
            <w:tcW w:type="dxa" w:w="3408"/>
            <w:vAlign w:val="top"/>
          </w:tcPr>
          <w:p>
            <w:r>
              <w:t>Desktop sidebar available</w:t>
            </w:r>
          </w:p>
        </w:tc>
      </w:tr>
      <w:tr>
        <w:tc>
          <w:tcPr>
            <w:tcW w:type="dxa" w:w="3408"/>
            <w:vAlign w:val="top"/>
          </w:tcPr>
          <w:p>
            <w:r>
              <w:t>xl</w:t>
            </w:r>
          </w:p>
        </w:tc>
        <w:tc>
          <w:tcPr>
            <w:tcW w:type="dxa" w:w="3408"/>
            <w:vAlign w:val="top"/>
          </w:tcPr>
          <w:p>
            <w:r>
              <w:t>1280px</w:t>
            </w:r>
          </w:p>
        </w:tc>
        <w:tc>
          <w:tcPr>
            <w:tcW w:type="dxa" w:w="3408"/>
            <w:vAlign w:val="top"/>
          </w:tcPr>
          <w:p>
            <w:r>
              <w:t>32px content gutters</w:t>
            </w:r>
          </w:p>
        </w:tc>
      </w:tr>
      <w:tr>
        <w:tc>
          <w:tcPr>
            <w:tcW w:type="dxa" w:w="3408"/>
            <w:vAlign w:val="top"/>
          </w:tcPr>
          <w:p>
            <w:r>
              <w:t>2xl</w:t>
            </w:r>
          </w:p>
        </w:tc>
        <w:tc>
          <w:tcPr>
            <w:tcW w:type="dxa" w:w="3408"/>
            <w:vAlign w:val="top"/>
          </w:tcPr>
          <w:p>
            <w:r>
              <w:t>1536px</w:t>
            </w:r>
          </w:p>
        </w:tc>
        <w:tc>
          <w:tcPr>
            <w:tcW w:type="dxa" w:w="3408"/>
            <w:vAlign w:val="top"/>
          </w:tcPr>
          <w:p>
            <w:r>
              <w:t>More breathing room; do not stretch readable prose excessively</w:t>
            </w:r>
          </w:p>
        </w:tc>
      </w:tr>
    </w:tbl>
    <w:p>
      <w:pPr>
        <w:pStyle w:val="Heading2"/>
      </w:pPr>
      <w:r>
        <w:t>2.3 Mobile shell</w:t>
      </w:r>
    </w:p>
    <w:p>
      <w:r>
        <w:t>Below 768px use a top bar plus bottom navigation. Primary tabs: Home, Opportunities, Inbox, More. Mobile is optimized for checking attention items, approving actions, reading replies, pausing/resuming the agent and reviewing opportunities—not for dense system configuration.</w:t>
      </w:r>
    </w:p>
    <w:p>
      <w:pPr>
        <w:pStyle w:val="Heading2"/>
      </w:pPr>
      <w:r>
        <w:t>2.4 Density</w:t>
      </w:r>
    </w:p>
    <w:p>
      <w:pPr>
        <w:pStyle w:val="ListBullet"/>
      </w:pPr>
      <w:r>
        <w:t>Default row height: 52–60px depending on secondary metadata.</w:t>
      </w:r>
    </w:p>
    <w:p>
      <w:pPr>
        <w:pStyle w:val="ListBullet"/>
      </w:pPr>
      <w:r>
        <w:t>Compact data-table mode may use 44–48px rows.</w:t>
      </w:r>
    </w:p>
    <w:p>
      <w:pPr>
        <w:pStyle w:val="ListBullet"/>
      </w:pPr>
      <w:r>
        <w:t>Cards should be used for summaries, attention items and entities—not every piece of information.</w:t>
      </w:r>
    </w:p>
    <w:p>
      <w:pPr>
        <w:pStyle w:val="ListBullet"/>
      </w:pPr>
      <w:r>
        <w:t>Long descriptions and email bodies should use a readable text column rather than full viewport width.</w:t>
      </w:r>
    </w:p>
    <w:p>
      <w:pPr>
        <w:pStyle w:val="Heading1"/>
      </w:pPr>
      <w:r>
        <w:t>3. Color System</w:t>
      </w:r>
    </w:p>
    <w:p>
      <w:pPr>
        <w:pStyle w:val="Heading2"/>
      </w:pPr>
      <w:r>
        <w:t>3.1 Primitive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50</w:t>
            </w:r>
          </w:p>
        </w:tc>
        <w:tc>
          <w:tcPr>
            <w:tcW w:type="dxa" w:w="3408"/>
            <w:vAlign w:val="top"/>
          </w:tcPr>
          <w:p>
            <w:r>
              <w:t>#EEF2FF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100</w:t>
            </w:r>
          </w:p>
        </w:tc>
        <w:tc>
          <w:tcPr>
            <w:tcW w:type="dxa" w:w="3408"/>
            <w:vAlign w:val="top"/>
          </w:tcPr>
          <w:p>
            <w:r>
              <w:t>#E0E7FF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200</w:t>
            </w:r>
          </w:p>
        </w:tc>
        <w:tc>
          <w:tcPr>
            <w:tcW w:type="dxa" w:w="3408"/>
            <w:vAlign w:val="top"/>
          </w:tcPr>
          <w:p>
            <w:r>
              <w:t>#C7D2FE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300</w:t>
            </w:r>
          </w:p>
        </w:tc>
        <w:tc>
          <w:tcPr>
            <w:tcW w:type="dxa" w:w="3408"/>
            <w:vAlign w:val="top"/>
          </w:tcPr>
          <w:p>
            <w:r>
              <w:t>#A5B4FC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400</w:t>
            </w:r>
          </w:p>
        </w:tc>
        <w:tc>
          <w:tcPr>
            <w:tcW w:type="dxa" w:w="3408"/>
            <w:vAlign w:val="top"/>
          </w:tcPr>
          <w:p>
            <w:r>
              <w:t>#818CF8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500</w:t>
            </w:r>
          </w:p>
        </w:tc>
        <w:tc>
          <w:tcPr>
            <w:tcW w:type="dxa" w:w="3408"/>
            <w:vAlign w:val="top"/>
          </w:tcPr>
          <w:p>
            <w:r>
              <w:t>#6366F1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600</w:t>
            </w:r>
          </w:p>
        </w:tc>
        <w:tc>
          <w:tcPr>
            <w:tcW w:type="dxa" w:w="3408"/>
            <w:vAlign w:val="top"/>
          </w:tcPr>
          <w:p>
            <w:r>
              <w:t>#4F46E5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700</w:t>
            </w:r>
          </w:p>
        </w:tc>
        <w:tc>
          <w:tcPr>
            <w:tcW w:type="dxa" w:w="3408"/>
            <w:vAlign w:val="top"/>
          </w:tcPr>
          <w:p>
            <w:r>
              <w:t>#4338CA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800</w:t>
            </w:r>
          </w:p>
        </w:tc>
        <w:tc>
          <w:tcPr>
            <w:tcW w:type="dxa" w:w="3408"/>
            <w:vAlign w:val="top"/>
          </w:tcPr>
          <w:p>
            <w:r>
              <w:t>#3730A3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900</w:t>
            </w:r>
          </w:p>
        </w:tc>
        <w:tc>
          <w:tcPr>
            <w:tcW w:type="dxa" w:w="3408"/>
            <w:vAlign w:val="top"/>
          </w:tcPr>
          <w:p>
            <w:r>
              <w:t>#312E81</w:t>
            </w:r>
          </w:p>
        </w:tc>
      </w:tr>
      <w:tr>
        <w:tc>
          <w:tcPr>
            <w:tcW w:type="dxa" w:w="3408"/>
            <w:vAlign w:val="top"/>
          </w:tcPr>
          <w:p>
            <w:r>
              <w:t>Indigo</w:t>
            </w:r>
          </w:p>
        </w:tc>
        <w:tc>
          <w:tcPr>
            <w:tcW w:type="dxa" w:w="3408"/>
            <w:vAlign w:val="top"/>
          </w:tcPr>
          <w:p>
            <w:r>
              <w:t>950</w:t>
            </w:r>
          </w:p>
        </w:tc>
        <w:tc>
          <w:tcPr>
            <w:tcW w:type="dxa" w:w="3408"/>
            <w:vAlign w:val="top"/>
          </w:tcPr>
          <w:p>
            <w:r>
              <w:t>#1E1B4B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0</w:t>
            </w:r>
          </w:p>
        </w:tc>
        <w:tc>
          <w:tcPr>
            <w:tcW w:type="dxa" w:w="3408"/>
            <w:vAlign w:val="top"/>
          </w:tcPr>
          <w:p>
            <w:r>
              <w:t>#FFFFFF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25</w:t>
            </w:r>
          </w:p>
        </w:tc>
        <w:tc>
          <w:tcPr>
            <w:tcW w:type="dxa" w:w="3408"/>
            <w:vAlign w:val="top"/>
          </w:tcPr>
          <w:p>
            <w:r>
              <w:t>#FCFCFD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50</w:t>
            </w:r>
          </w:p>
        </w:tc>
        <w:tc>
          <w:tcPr>
            <w:tcW w:type="dxa" w:w="3408"/>
            <w:vAlign w:val="top"/>
          </w:tcPr>
          <w:p>
            <w:r>
              <w:t>#F8F9FB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100</w:t>
            </w:r>
          </w:p>
        </w:tc>
        <w:tc>
          <w:tcPr>
            <w:tcW w:type="dxa" w:w="3408"/>
            <w:vAlign w:val="top"/>
          </w:tcPr>
          <w:p>
            <w:r>
              <w:t>#F3F4F6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200</w:t>
            </w:r>
          </w:p>
        </w:tc>
        <w:tc>
          <w:tcPr>
            <w:tcW w:type="dxa" w:w="3408"/>
            <w:vAlign w:val="top"/>
          </w:tcPr>
          <w:p>
            <w:r>
              <w:t>#E4E4E7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300</w:t>
            </w:r>
          </w:p>
        </w:tc>
        <w:tc>
          <w:tcPr>
            <w:tcW w:type="dxa" w:w="3408"/>
            <w:vAlign w:val="top"/>
          </w:tcPr>
          <w:p>
            <w:r>
              <w:t>#D4D4D8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400</w:t>
            </w:r>
          </w:p>
        </w:tc>
        <w:tc>
          <w:tcPr>
            <w:tcW w:type="dxa" w:w="3408"/>
            <w:vAlign w:val="top"/>
          </w:tcPr>
          <w:p>
            <w:r>
              <w:t>#A1A1AA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500</w:t>
            </w:r>
          </w:p>
        </w:tc>
        <w:tc>
          <w:tcPr>
            <w:tcW w:type="dxa" w:w="3408"/>
            <w:vAlign w:val="top"/>
          </w:tcPr>
          <w:p>
            <w:r>
              <w:t>#71717A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600</w:t>
            </w:r>
          </w:p>
        </w:tc>
        <w:tc>
          <w:tcPr>
            <w:tcW w:type="dxa" w:w="3408"/>
            <w:vAlign w:val="top"/>
          </w:tcPr>
          <w:p>
            <w:r>
              <w:t>#52525B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700</w:t>
            </w:r>
          </w:p>
        </w:tc>
        <w:tc>
          <w:tcPr>
            <w:tcW w:type="dxa" w:w="3408"/>
            <w:vAlign w:val="top"/>
          </w:tcPr>
          <w:p>
            <w:r>
              <w:t>#3F3F46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800</w:t>
            </w:r>
          </w:p>
        </w:tc>
        <w:tc>
          <w:tcPr>
            <w:tcW w:type="dxa" w:w="3408"/>
            <w:vAlign w:val="top"/>
          </w:tcPr>
          <w:p>
            <w:r>
              <w:t>#27272A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900</w:t>
            </w:r>
          </w:p>
        </w:tc>
        <w:tc>
          <w:tcPr>
            <w:tcW w:type="dxa" w:w="3408"/>
            <w:vAlign w:val="top"/>
          </w:tcPr>
          <w:p>
            <w:r>
              <w:t>#18181B</w:t>
            </w:r>
          </w:p>
        </w:tc>
      </w:tr>
      <w:tr>
        <w:tc>
          <w:tcPr>
            <w:tcW w:type="dxa" w:w="3408"/>
            <w:vAlign w:val="top"/>
          </w:tcPr>
          <w:p>
            <w:r>
              <w:t>Neutral</w:t>
            </w:r>
          </w:p>
        </w:tc>
        <w:tc>
          <w:tcPr>
            <w:tcW w:type="dxa" w:w="3408"/>
            <w:vAlign w:val="top"/>
          </w:tcPr>
          <w:p>
            <w:r>
              <w:t>950</w:t>
            </w:r>
          </w:p>
        </w:tc>
        <w:tc>
          <w:tcPr>
            <w:tcW w:type="dxa" w:w="3408"/>
            <w:vAlign w:val="top"/>
          </w:tcPr>
          <w:p>
            <w:r>
              <w:t>#09090B</w:t>
            </w:r>
          </w:p>
        </w:tc>
      </w:tr>
      <w:tr>
        <w:tc>
          <w:tcPr>
            <w:tcW w:type="dxa" w:w="3408"/>
            <w:vAlign w:val="top"/>
          </w:tcPr>
          <w:p>
            <w:r>
              <w:t>Green</w:t>
            </w:r>
          </w:p>
        </w:tc>
        <w:tc>
          <w:tcPr>
            <w:tcW w:type="dxa" w:w="3408"/>
            <w:vAlign w:val="top"/>
          </w:tcPr>
          <w:p>
            <w:r>
              <w:t>600</w:t>
            </w:r>
          </w:p>
        </w:tc>
        <w:tc>
          <w:tcPr>
            <w:tcW w:type="dxa" w:w="3408"/>
            <w:vAlign w:val="top"/>
          </w:tcPr>
          <w:p>
            <w:r>
              <w:t>#15803D</w:t>
            </w:r>
          </w:p>
        </w:tc>
      </w:tr>
      <w:tr>
        <w:tc>
          <w:tcPr>
            <w:tcW w:type="dxa" w:w="3408"/>
            <w:vAlign w:val="top"/>
          </w:tcPr>
          <w:p>
            <w:r>
              <w:t>Amber</w:t>
            </w:r>
          </w:p>
        </w:tc>
        <w:tc>
          <w:tcPr>
            <w:tcW w:type="dxa" w:w="3408"/>
            <w:vAlign w:val="top"/>
          </w:tcPr>
          <w:p>
            <w:r>
              <w:t>700</w:t>
            </w:r>
          </w:p>
        </w:tc>
        <w:tc>
          <w:tcPr>
            <w:tcW w:type="dxa" w:w="3408"/>
            <w:vAlign w:val="top"/>
          </w:tcPr>
          <w:p>
            <w:r>
              <w:t>#B45309</w:t>
            </w:r>
          </w:p>
        </w:tc>
      </w:tr>
      <w:tr>
        <w:tc>
          <w:tcPr>
            <w:tcW w:type="dxa" w:w="3408"/>
            <w:vAlign w:val="top"/>
          </w:tcPr>
          <w:p>
            <w:r>
              <w:t>Red</w:t>
            </w:r>
          </w:p>
        </w:tc>
        <w:tc>
          <w:tcPr>
            <w:tcW w:type="dxa" w:w="3408"/>
            <w:vAlign w:val="top"/>
          </w:tcPr>
          <w:p>
            <w:r>
              <w:t>600</w:t>
            </w:r>
          </w:p>
        </w:tc>
        <w:tc>
          <w:tcPr>
            <w:tcW w:type="dxa" w:w="3408"/>
            <w:vAlign w:val="top"/>
          </w:tcPr>
          <w:p>
            <w:r>
              <w:t>#DC2626</w:t>
            </w:r>
          </w:p>
        </w:tc>
      </w:tr>
      <w:tr>
        <w:tc>
          <w:tcPr>
            <w:tcW w:type="dxa" w:w="3408"/>
            <w:vAlign w:val="top"/>
          </w:tcPr>
          <w:p>
            <w:r>
              <w:t>Blue</w:t>
            </w:r>
          </w:p>
        </w:tc>
        <w:tc>
          <w:tcPr>
            <w:tcW w:type="dxa" w:w="3408"/>
            <w:vAlign w:val="top"/>
          </w:tcPr>
          <w:p>
            <w:r>
              <w:t>600</w:t>
            </w:r>
          </w:p>
        </w:tc>
        <w:tc>
          <w:tcPr>
            <w:tcW w:type="dxa" w:w="3408"/>
            <w:vAlign w:val="top"/>
          </w:tcPr>
          <w:p>
            <w:r>
              <w:t>#2563EB</w:t>
            </w:r>
          </w:p>
        </w:tc>
      </w:tr>
    </w:tbl>
    <w:p>
      <w:pPr>
        <w:pStyle w:val="Heading2"/>
      </w:pPr>
      <w:r>
        <w:t>3.2 Light semantic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color.bg.canvas</w:t>
            </w:r>
          </w:p>
        </w:tc>
        <w:tc>
          <w:tcPr>
            <w:tcW w:type="dxa" w:w="3408"/>
            <w:vAlign w:val="top"/>
          </w:tcPr>
          <w:p>
            <w:r>
              <w:t>#F8F9FB</w:t>
            </w:r>
          </w:p>
        </w:tc>
        <w:tc>
          <w:tcPr>
            <w:tcW w:type="dxa" w:w="3408"/>
            <w:vAlign w:val="top"/>
          </w:tcPr>
          <w:p>
            <w:r>
              <w:t>Application background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color.bg.surface</w:t>
            </w:r>
          </w:p>
        </w:tc>
        <w:tc>
          <w:tcPr>
            <w:tcW w:type="dxa" w:w="3408"/>
            <w:vAlign w:val="top"/>
          </w:tcPr>
          <w:p>
            <w:r>
              <w:t>#FFFFFF</w:t>
            </w:r>
          </w:p>
        </w:tc>
        <w:tc>
          <w:tcPr>
            <w:tcW w:type="dxa" w:w="3408"/>
            <w:vAlign w:val="top"/>
          </w:tcPr>
          <w:p>
            <w:r>
              <w:t>Primary panels/cards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color.bg.subtle</w:t>
            </w:r>
          </w:p>
        </w:tc>
        <w:tc>
          <w:tcPr>
            <w:tcW w:type="dxa" w:w="3408"/>
            <w:vAlign w:val="top"/>
          </w:tcPr>
          <w:p>
            <w:r>
              <w:t>#F3F4F6</w:t>
            </w:r>
          </w:p>
        </w:tc>
        <w:tc>
          <w:tcPr>
            <w:tcW w:type="dxa" w:w="3408"/>
            <w:vAlign w:val="top"/>
          </w:tcPr>
          <w:p>
            <w:r>
              <w:t>Secondary surfaces, hover zones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color.text.primary</w:t>
            </w:r>
          </w:p>
        </w:tc>
        <w:tc>
          <w:tcPr>
            <w:tcW w:type="dxa" w:w="3408"/>
            <w:vAlign w:val="top"/>
          </w:tcPr>
          <w:p>
            <w:r>
              <w:t>#18181B</w:t>
            </w:r>
          </w:p>
        </w:tc>
        <w:tc>
          <w:tcPr>
            <w:tcW w:type="dxa" w:w="3408"/>
            <w:vAlign w:val="top"/>
          </w:tcPr>
          <w:p>
            <w:r>
              <w:t>Primary text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color.text.secondary</w:t>
            </w:r>
          </w:p>
        </w:tc>
        <w:tc>
          <w:tcPr>
            <w:tcW w:type="dxa" w:w="3408"/>
            <w:vAlign w:val="top"/>
          </w:tcPr>
          <w:p>
            <w:r>
              <w:t>#52525B</w:t>
            </w:r>
          </w:p>
        </w:tc>
        <w:tc>
          <w:tcPr>
            <w:tcW w:type="dxa" w:w="3408"/>
            <w:vAlign w:val="top"/>
          </w:tcPr>
          <w:p>
            <w:r>
              <w:t>Secondary copy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color.text.muted</w:t>
            </w:r>
          </w:p>
        </w:tc>
        <w:tc>
          <w:tcPr>
            <w:tcW w:type="dxa" w:w="3408"/>
            <w:vAlign w:val="top"/>
          </w:tcPr>
          <w:p>
            <w:r>
              <w:t>#71717A</w:t>
            </w:r>
          </w:p>
        </w:tc>
        <w:tc>
          <w:tcPr>
            <w:tcW w:type="dxa" w:w="3408"/>
            <w:vAlign w:val="top"/>
          </w:tcPr>
          <w:p>
            <w:r>
              <w:t>Metadata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color.border.default</w:t>
            </w:r>
          </w:p>
        </w:tc>
        <w:tc>
          <w:tcPr>
            <w:tcW w:type="dxa" w:w="3408"/>
            <w:vAlign w:val="top"/>
          </w:tcPr>
          <w:p>
            <w:r>
              <w:t>#E4E4E7</w:t>
            </w:r>
          </w:p>
        </w:tc>
        <w:tc>
          <w:tcPr>
            <w:tcW w:type="dxa" w:w="3408"/>
            <w:vAlign w:val="top"/>
          </w:tcPr>
          <w:p>
            <w:r>
              <w:t>Standard border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color.border.strong</w:t>
            </w:r>
          </w:p>
        </w:tc>
        <w:tc>
          <w:tcPr>
            <w:tcW w:type="dxa" w:w="3408"/>
            <w:vAlign w:val="top"/>
          </w:tcPr>
          <w:p>
            <w:r>
              <w:t>#D4D4D8</w:t>
            </w:r>
          </w:p>
        </w:tc>
        <w:tc>
          <w:tcPr>
            <w:tcW w:type="dxa" w:w="3408"/>
            <w:vAlign w:val="top"/>
          </w:tcPr>
          <w:p>
            <w:r>
              <w:t>Emphasized separators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color.brand.default</w:t>
            </w:r>
          </w:p>
        </w:tc>
        <w:tc>
          <w:tcPr>
            <w:tcW w:type="dxa" w:w="3408"/>
            <w:vAlign w:val="top"/>
          </w:tcPr>
          <w:p>
            <w:r>
              <w:t>#4F46E5</w:t>
            </w:r>
          </w:p>
        </w:tc>
        <w:tc>
          <w:tcPr>
            <w:tcW w:type="dxa" w:w="3408"/>
            <w:vAlign w:val="top"/>
          </w:tcPr>
          <w:p>
            <w:r>
              <w:t>Primary action / Pursio identity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color.brand.hover</w:t>
            </w:r>
          </w:p>
        </w:tc>
        <w:tc>
          <w:tcPr>
            <w:tcW w:type="dxa" w:w="3408"/>
            <w:vAlign w:val="top"/>
          </w:tcPr>
          <w:p>
            <w:r>
              <w:t>#4338CA</w:t>
            </w:r>
          </w:p>
        </w:tc>
        <w:tc>
          <w:tcPr>
            <w:tcW w:type="dxa" w:w="3408"/>
            <w:vAlign w:val="top"/>
          </w:tcPr>
          <w:p>
            <w:r>
              <w:t>Primary hover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color.brand.subtle</w:t>
            </w:r>
          </w:p>
        </w:tc>
        <w:tc>
          <w:tcPr>
            <w:tcW w:type="dxa" w:w="3408"/>
            <w:vAlign w:val="top"/>
          </w:tcPr>
          <w:p>
            <w:r>
              <w:t>#EEF2FF</w:t>
            </w:r>
          </w:p>
        </w:tc>
        <w:tc>
          <w:tcPr>
            <w:tcW w:type="dxa" w:w="3408"/>
            <w:vAlign w:val="top"/>
          </w:tcPr>
          <w:p>
            <w:r>
              <w:t>Brand-tinted background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color.status.success</w:t>
            </w:r>
          </w:p>
        </w:tc>
        <w:tc>
          <w:tcPr>
            <w:tcW w:type="dxa" w:w="3408"/>
            <w:vAlign w:val="top"/>
          </w:tcPr>
          <w:p>
            <w:r>
              <w:t>#15803D</w:t>
            </w:r>
          </w:p>
        </w:tc>
        <w:tc>
          <w:tcPr>
            <w:tcW w:type="dxa" w:w="3408"/>
            <w:vAlign w:val="top"/>
          </w:tcPr>
          <w:p>
            <w:r>
              <w:t>Success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color.status.warning</w:t>
            </w:r>
          </w:p>
        </w:tc>
        <w:tc>
          <w:tcPr>
            <w:tcW w:type="dxa" w:w="3408"/>
            <w:vAlign w:val="top"/>
          </w:tcPr>
          <w:p>
            <w:r>
              <w:t>#B45309</w:t>
            </w:r>
          </w:p>
        </w:tc>
        <w:tc>
          <w:tcPr>
            <w:tcW w:type="dxa" w:w="3408"/>
            <w:vAlign w:val="top"/>
          </w:tcPr>
          <w:p>
            <w:r>
              <w:t>Attention/warning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color.status.danger</w:t>
            </w:r>
          </w:p>
        </w:tc>
        <w:tc>
          <w:tcPr>
            <w:tcW w:type="dxa" w:w="3408"/>
            <w:vAlign w:val="top"/>
          </w:tcPr>
          <w:p>
            <w:r>
              <w:t>#DC2626</w:t>
            </w:r>
          </w:p>
        </w:tc>
        <w:tc>
          <w:tcPr>
            <w:tcW w:type="dxa" w:w="3408"/>
            <w:vAlign w:val="top"/>
          </w:tcPr>
          <w:p>
            <w:r>
              <w:t>Failure/destructive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color.status.info</w:t>
            </w:r>
          </w:p>
        </w:tc>
        <w:tc>
          <w:tcPr>
            <w:tcW w:type="dxa" w:w="3408"/>
            <w:vAlign w:val="top"/>
          </w:tcPr>
          <w:p>
            <w:r>
              <w:t>#2563EB</w:t>
            </w:r>
          </w:p>
        </w:tc>
        <w:tc>
          <w:tcPr>
            <w:tcW w:type="dxa" w:w="3408"/>
            <w:vAlign w:val="top"/>
          </w:tcPr>
          <w:p>
            <w:r>
              <w:t>Informational</w:t>
            </w:r>
          </w:p>
        </w:tc>
      </w:tr>
      <w:tr>
        <w:tc>
          <w:tcPr>
            <w:tcW w:type="dxa" w:w="3408"/>
            <w:vAlign w:val="top"/>
          </w:tcPr>
          <w:p>
            <w:r>
              <w:t>color.focus</w:t>
            </w:r>
          </w:p>
        </w:tc>
        <w:tc>
          <w:tcPr>
            <w:tcW w:type="dxa" w:w="3408"/>
            <w:vAlign w:val="top"/>
          </w:tcPr>
          <w:p>
            <w:r>
              <w:t>#4F46E5</w:t>
            </w:r>
          </w:p>
        </w:tc>
        <w:tc>
          <w:tcPr>
            <w:tcW w:type="dxa" w:w="3408"/>
            <w:vAlign w:val="top"/>
          </w:tcPr>
          <w:p>
            <w:r>
              <w:t>Keyboard focus ring</w:t>
            </w:r>
          </w:p>
        </w:tc>
      </w:tr>
    </w:tbl>
    <w:p>
      <w:pPr>
        <w:pStyle w:val="Heading2"/>
      </w:pPr>
      <w:r>
        <w:t>3.3 Dark semantic tokens (supported after light)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t>color.bg.canvas</w:t>
            </w:r>
          </w:p>
        </w:tc>
        <w:tc>
          <w:tcPr>
            <w:tcW w:type="dxa" w:w="5112"/>
            <w:vAlign w:val="top"/>
          </w:tcPr>
          <w:p>
            <w:r>
              <w:t>#09090B</w:t>
            </w:r>
          </w:p>
        </w:tc>
      </w:tr>
      <w:tr>
        <w:tc>
          <w:tcPr>
            <w:tcW w:type="dxa" w:w="5112"/>
            <w:vAlign w:val="top"/>
          </w:tcPr>
          <w:p>
            <w:r>
              <w:t>color.bg.surface</w:t>
            </w:r>
          </w:p>
        </w:tc>
        <w:tc>
          <w:tcPr>
            <w:tcW w:type="dxa" w:w="5112"/>
            <w:vAlign w:val="top"/>
          </w:tcPr>
          <w:p>
            <w:r>
              <w:t>#111113</w:t>
            </w:r>
          </w:p>
        </w:tc>
      </w:tr>
      <w:tr>
        <w:tc>
          <w:tcPr>
            <w:tcW w:type="dxa" w:w="5112"/>
            <w:vAlign w:val="top"/>
          </w:tcPr>
          <w:p>
            <w:r>
              <w:t>color.bg.subtle</w:t>
            </w:r>
          </w:p>
        </w:tc>
        <w:tc>
          <w:tcPr>
            <w:tcW w:type="dxa" w:w="5112"/>
            <w:vAlign w:val="top"/>
          </w:tcPr>
          <w:p>
            <w:r>
              <w:t>#18181B</w:t>
            </w:r>
          </w:p>
        </w:tc>
      </w:tr>
      <w:tr>
        <w:tc>
          <w:tcPr>
            <w:tcW w:type="dxa" w:w="5112"/>
            <w:vAlign w:val="top"/>
          </w:tcPr>
          <w:p>
            <w:r>
              <w:t>color.text.primary</w:t>
            </w:r>
          </w:p>
        </w:tc>
        <w:tc>
          <w:tcPr>
            <w:tcW w:type="dxa" w:w="5112"/>
            <w:vAlign w:val="top"/>
          </w:tcPr>
          <w:p>
            <w:r>
              <w:t>#FAFAFA</w:t>
            </w:r>
          </w:p>
        </w:tc>
      </w:tr>
      <w:tr>
        <w:tc>
          <w:tcPr>
            <w:tcW w:type="dxa" w:w="5112"/>
            <w:vAlign w:val="top"/>
          </w:tcPr>
          <w:p>
            <w:r>
              <w:t>color.text.secondary</w:t>
            </w:r>
          </w:p>
        </w:tc>
        <w:tc>
          <w:tcPr>
            <w:tcW w:type="dxa" w:w="5112"/>
            <w:vAlign w:val="top"/>
          </w:tcPr>
          <w:p>
            <w:r>
              <w:t>#A1A1AA</w:t>
            </w:r>
          </w:p>
        </w:tc>
      </w:tr>
      <w:tr>
        <w:tc>
          <w:tcPr>
            <w:tcW w:type="dxa" w:w="5112"/>
            <w:vAlign w:val="top"/>
          </w:tcPr>
          <w:p>
            <w:r>
              <w:t>color.text.muted</w:t>
            </w:r>
          </w:p>
        </w:tc>
        <w:tc>
          <w:tcPr>
            <w:tcW w:type="dxa" w:w="5112"/>
            <w:vAlign w:val="top"/>
          </w:tcPr>
          <w:p>
            <w:r>
              <w:t>#71717A</w:t>
            </w:r>
          </w:p>
        </w:tc>
      </w:tr>
      <w:tr>
        <w:tc>
          <w:tcPr>
            <w:tcW w:type="dxa" w:w="5112"/>
            <w:vAlign w:val="top"/>
          </w:tcPr>
          <w:p>
            <w:r>
              <w:t>color.border.default</w:t>
            </w:r>
          </w:p>
        </w:tc>
        <w:tc>
          <w:tcPr>
            <w:tcW w:type="dxa" w:w="5112"/>
            <w:vAlign w:val="top"/>
          </w:tcPr>
          <w:p>
            <w:r>
              <w:t>#27272A</w:t>
            </w:r>
          </w:p>
        </w:tc>
      </w:tr>
      <w:tr>
        <w:tc>
          <w:tcPr>
            <w:tcW w:type="dxa" w:w="5112"/>
            <w:vAlign w:val="top"/>
          </w:tcPr>
          <w:p>
            <w:r>
              <w:t>color.brand.default</w:t>
            </w:r>
          </w:p>
        </w:tc>
        <w:tc>
          <w:tcPr>
            <w:tcW w:type="dxa" w:w="5112"/>
            <w:vAlign w:val="top"/>
          </w:tcPr>
          <w:p>
            <w:r>
              <w:t>#818CF8</w:t>
            </w:r>
          </w:p>
        </w:tc>
      </w:tr>
    </w:tbl>
    <w:p>
      <w:pPr>
        <w:pStyle w:val="Heading2"/>
      </w:pPr>
      <w:r>
        <w:t>3.4 Color rules</w:t>
      </w:r>
    </w:p>
    <w:p>
      <w:pPr>
        <w:pStyle w:val="ListBullet"/>
      </w:pPr>
      <w:r>
        <w:t>Approximately 85–90% of visible UI should remain neutral.</w:t>
      </w:r>
    </w:p>
    <w:p>
      <w:pPr>
        <w:pStyle w:val="ListBullet"/>
      </w:pPr>
      <w:r>
        <w:t>Brand color is for primary actions, selected navigation, agent activity and controlled emphasis.</w:t>
      </w:r>
    </w:p>
    <w:p>
      <w:pPr>
        <w:pStyle w:val="ListBullet"/>
      </w:pPr>
      <w:r>
        <w:t>Success/warning/danger/info colors are semantic, never decorative.</w:t>
      </w:r>
    </w:p>
    <w:p>
      <w:pPr>
        <w:pStyle w:val="ListBullet"/>
      </w:pPr>
      <w:r>
        <w:t>Every status requires text and/or icon in addition to color.</w:t>
      </w:r>
    </w:p>
    <w:p>
      <w:pPr>
        <w:pStyle w:val="ListBullet"/>
      </w:pPr>
      <w:r>
        <w:t>Do not use red for ordinary negative metrics; reserve it for errors, destructive actions and blocked states.</w:t>
      </w:r>
    </w:p>
    <w:p>
      <w:pPr>
        <w:pStyle w:val="ListBullet"/>
      </w:pPr>
      <w:r>
        <w:t>Meet WCAG AA contrast: at least 4.5:1 for normal text and 3:1 for meaningful non-text UI/focus boundaries where applicable.</w:t>
      </w:r>
    </w:p>
    <w:p>
      <w:pPr>
        <w:pStyle w:val="Heading1"/>
      </w:pPr>
      <w:r>
        <w:t>4. Typography</w:t>
      </w:r>
    </w:p>
    <w:p>
      <w:pPr>
        <w:pStyle w:val="Heading2"/>
      </w:pPr>
      <w:r>
        <w:t>4.1 Font family</w:t>
      </w:r>
    </w:p>
    <w:p>
      <w:r>
        <w:t>Primary: Geist Sans. Technical metadata only: Geist Mono. If Geist is unavailable, use a high-quality system sans fallback. Never use a decorative display face inside the product UI.</w:t>
      </w:r>
    </w:p>
    <w:p>
      <w:pPr>
        <w:pStyle w:val="Heading2"/>
      </w:pPr>
      <w:r>
        <w:t>4.2 Type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Size / line-height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556"/>
            <w:vAlign w:val="top"/>
          </w:tcPr>
          <w:p>
            <w:r>
              <w:t>Display</w:t>
            </w:r>
          </w:p>
        </w:tc>
        <w:tc>
          <w:tcPr>
            <w:tcW w:type="dxa" w:w="2556"/>
            <w:vAlign w:val="top"/>
          </w:tcPr>
          <w:p>
            <w:r>
              <w:t>32 / 40</w:t>
            </w:r>
          </w:p>
        </w:tc>
        <w:tc>
          <w:tcPr>
            <w:tcW w:type="dxa" w:w="2556"/>
            <w:vAlign w:val="top"/>
          </w:tcPr>
          <w:p>
            <w:r>
              <w:t>600</w:t>
            </w:r>
          </w:p>
        </w:tc>
        <w:tc>
          <w:tcPr>
            <w:tcW w:type="dxa" w:w="2556"/>
            <w:vAlign w:val="top"/>
          </w:tcPr>
          <w:p>
            <w:r>
              <w:t>Rare hero/empty onboarding heading</w:t>
            </w:r>
          </w:p>
        </w:tc>
      </w:tr>
      <w:tr>
        <w:tc>
          <w:tcPr>
            <w:tcW w:type="dxa" w:w="2556"/>
            <w:vAlign w:val="top"/>
          </w:tcPr>
          <w:p>
            <w:r>
              <w:t>Page title</w:t>
            </w:r>
          </w:p>
        </w:tc>
        <w:tc>
          <w:tcPr>
            <w:tcW w:type="dxa" w:w="2556"/>
            <w:vAlign w:val="top"/>
          </w:tcPr>
          <w:p>
            <w:r>
              <w:t>24 / 32</w:t>
            </w:r>
          </w:p>
        </w:tc>
        <w:tc>
          <w:tcPr>
            <w:tcW w:type="dxa" w:w="2556"/>
            <w:vAlign w:val="top"/>
          </w:tcPr>
          <w:p>
            <w:r>
              <w:t>600</w:t>
            </w:r>
          </w:p>
        </w:tc>
        <w:tc>
          <w:tcPr>
            <w:tcW w:type="dxa" w:w="2556"/>
            <w:vAlign w:val="top"/>
          </w:tcPr>
          <w:p>
            <w:r>
              <w:t>Page heading</w:t>
            </w:r>
          </w:p>
        </w:tc>
      </w:tr>
      <w:tr>
        <w:tc>
          <w:tcPr>
            <w:tcW w:type="dxa" w:w="2556"/>
            <w:vAlign w:val="top"/>
          </w:tcPr>
          <w:p>
            <w:r>
              <w:t>Section title</w:t>
            </w:r>
          </w:p>
        </w:tc>
        <w:tc>
          <w:tcPr>
            <w:tcW w:type="dxa" w:w="2556"/>
            <w:vAlign w:val="top"/>
          </w:tcPr>
          <w:p>
            <w:r>
              <w:t>18 / 28</w:t>
            </w:r>
          </w:p>
        </w:tc>
        <w:tc>
          <w:tcPr>
            <w:tcW w:type="dxa" w:w="2556"/>
            <w:vAlign w:val="top"/>
          </w:tcPr>
          <w:p>
            <w:r>
              <w:t>600</w:t>
            </w:r>
          </w:p>
        </w:tc>
        <w:tc>
          <w:tcPr>
            <w:tcW w:type="dxa" w:w="2556"/>
            <w:vAlign w:val="top"/>
          </w:tcPr>
          <w:p>
            <w:r>
              <w:t>Major section</w:t>
            </w:r>
          </w:p>
        </w:tc>
      </w:tr>
      <w:tr>
        <w:tc>
          <w:tcPr>
            <w:tcW w:type="dxa" w:w="2556"/>
            <w:vAlign w:val="top"/>
          </w:tcPr>
          <w:p>
            <w:r>
              <w:t>Card title</w:t>
            </w:r>
          </w:p>
        </w:tc>
        <w:tc>
          <w:tcPr>
            <w:tcW w:type="dxa" w:w="2556"/>
            <w:vAlign w:val="top"/>
          </w:tcPr>
          <w:p>
            <w:r>
              <w:t>15 / 22</w:t>
            </w:r>
          </w:p>
        </w:tc>
        <w:tc>
          <w:tcPr>
            <w:tcW w:type="dxa" w:w="2556"/>
            <w:vAlign w:val="top"/>
          </w:tcPr>
          <w:p>
            <w:r>
              <w:t>600</w:t>
            </w:r>
          </w:p>
        </w:tc>
        <w:tc>
          <w:tcPr>
            <w:tcW w:type="dxa" w:w="2556"/>
            <w:vAlign w:val="top"/>
          </w:tcPr>
          <w:p>
            <w:r>
              <w:t>Entity/card title</w:t>
            </w:r>
          </w:p>
        </w:tc>
      </w:tr>
      <w:tr>
        <w:tc>
          <w:tcPr>
            <w:tcW w:type="dxa" w:w="2556"/>
            <w:vAlign w:val="top"/>
          </w:tcPr>
          <w:p>
            <w:r>
              <w:t>Body</w:t>
            </w:r>
          </w:p>
        </w:tc>
        <w:tc>
          <w:tcPr>
            <w:tcW w:type="dxa" w:w="2556"/>
            <w:vAlign w:val="top"/>
          </w:tcPr>
          <w:p>
            <w:r>
              <w:t>14 / 21</w:t>
            </w:r>
          </w:p>
        </w:tc>
        <w:tc>
          <w:tcPr>
            <w:tcW w:type="dxa" w:w="2556"/>
            <w:vAlign w:val="top"/>
          </w:tcPr>
          <w:p>
            <w:r>
              <w:t>400</w:t>
            </w:r>
          </w:p>
        </w:tc>
        <w:tc>
          <w:tcPr>
            <w:tcW w:type="dxa" w:w="2556"/>
            <w:vAlign w:val="top"/>
          </w:tcPr>
          <w:p>
            <w:r>
              <w:t>Default application text</w:t>
            </w:r>
          </w:p>
        </w:tc>
      </w:tr>
      <w:tr>
        <w:tc>
          <w:tcPr>
            <w:tcW w:type="dxa" w:w="2556"/>
            <w:vAlign w:val="top"/>
          </w:tcPr>
          <w:p>
            <w:r>
              <w:t>Body strong</w:t>
            </w:r>
          </w:p>
        </w:tc>
        <w:tc>
          <w:tcPr>
            <w:tcW w:type="dxa" w:w="2556"/>
            <w:vAlign w:val="top"/>
          </w:tcPr>
          <w:p>
            <w:r>
              <w:t>14 / 21</w:t>
            </w:r>
          </w:p>
        </w:tc>
        <w:tc>
          <w:tcPr>
            <w:tcW w:type="dxa" w:w="2556"/>
            <w:vAlign w:val="top"/>
          </w:tcPr>
          <w:p>
            <w:r>
              <w:t>600</w:t>
            </w:r>
          </w:p>
        </w:tc>
        <w:tc>
          <w:tcPr>
            <w:tcW w:type="dxa" w:w="2556"/>
            <w:vAlign w:val="top"/>
          </w:tcPr>
          <w:p>
            <w:r>
              <w:t>Emphasis</w:t>
            </w:r>
          </w:p>
        </w:tc>
      </w:tr>
      <w:tr>
        <w:tc>
          <w:tcPr>
            <w:tcW w:type="dxa" w:w="2556"/>
            <w:vAlign w:val="top"/>
          </w:tcPr>
          <w:p>
            <w:r>
              <w:t>Reading body</w:t>
            </w:r>
          </w:p>
        </w:tc>
        <w:tc>
          <w:tcPr>
            <w:tcW w:type="dxa" w:w="2556"/>
            <w:vAlign w:val="top"/>
          </w:tcPr>
          <w:p>
            <w:r>
              <w:t>15–16 / 24</w:t>
            </w:r>
          </w:p>
        </w:tc>
        <w:tc>
          <w:tcPr>
            <w:tcW w:type="dxa" w:w="2556"/>
            <w:vAlign w:val="top"/>
          </w:tcPr>
          <w:p>
            <w:r>
              <w:t>400</w:t>
            </w:r>
          </w:p>
        </w:tc>
        <w:tc>
          <w:tcPr>
            <w:tcW w:type="dxa" w:w="2556"/>
            <w:vAlign w:val="top"/>
          </w:tcPr>
          <w:p>
            <w:r>
              <w:t>Emails, descriptions, explanations</w:t>
            </w:r>
          </w:p>
        </w:tc>
      </w:tr>
      <w:tr>
        <w:tc>
          <w:tcPr>
            <w:tcW w:type="dxa" w:w="2556"/>
            <w:vAlign w:val="top"/>
          </w:tcPr>
          <w:p>
            <w:r>
              <w:t>Small</w:t>
            </w:r>
          </w:p>
        </w:tc>
        <w:tc>
          <w:tcPr>
            <w:tcW w:type="dxa" w:w="2556"/>
            <w:vAlign w:val="top"/>
          </w:tcPr>
          <w:p>
            <w:r>
              <w:t>13 / 18</w:t>
            </w:r>
          </w:p>
        </w:tc>
        <w:tc>
          <w:tcPr>
            <w:tcW w:type="dxa" w:w="2556"/>
            <w:vAlign w:val="top"/>
          </w:tcPr>
          <w:p>
            <w:r>
              <w:t>400</w:t>
            </w:r>
          </w:p>
        </w:tc>
        <w:tc>
          <w:tcPr>
            <w:tcW w:type="dxa" w:w="2556"/>
            <w:vAlign w:val="top"/>
          </w:tcPr>
          <w:p>
            <w:r>
              <w:t>Secondary data</w:t>
            </w:r>
          </w:p>
        </w:tc>
      </w:tr>
      <w:tr>
        <w:tc>
          <w:tcPr>
            <w:tcW w:type="dxa" w:w="2556"/>
            <w:vAlign w:val="top"/>
          </w:tcPr>
          <w:p>
            <w:r>
              <w:t>Metadata</w:t>
            </w:r>
          </w:p>
        </w:tc>
        <w:tc>
          <w:tcPr>
            <w:tcW w:type="dxa" w:w="2556"/>
            <w:vAlign w:val="top"/>
          </w:tcPr>
          <w:p>
            <w:r>
              <w:t>12 / 16</w:t>
            </w:r>
          </w:p>
        </w:tc>
        <w:tc>
          <w:tcPr>
            <w:tcW w:type="dxa" w:w="2556"/>
            <w:vAlign w:val="top"/>
          </w:tcPr>
          <w:p>
            <w:r>
              <w:t>500</w:t>
            </w:r>
          </w:p>
        </w:tc>
        <w:tc>
          <w:tcPr>
            <w:tcW w:type="dxa" w:w="2556"/>
            <w:vAlign w:val="top"/>
          </w:tcPr>
          <w:p>
            <w:r>
              <w:t>Timestamp, labels, compact table metadata</w:t>
            </w:r>
          </w:p>
        </w:tc>
      </w:tr>
      <w:tr>
        <w:tc>
          <w:tcPr>
            <w:tcW w:type="dxa" w:w="2556"/>
            <w:vAlign w:val="top"/>
          </w:tcPr>
          <w:p>
            <w:r>
              <w:t>Mono</w:t>
            </w:r>
          </w:p>
        </w:tc>
        <w:tc>
          <w:tcPr>
            <w:tcW w:type="dxa" w:w="2556"/>
            <w:vAlign w:val="top"/>
          </w:tcPr>
          <w:p>
            <w:r>
              <w:t>12–13 / 18</w:t>
            </w:r>
          </w:p>
        </w:tc>
        <w:tc>
          <w:tcPr>
            <w:tcW w:type="dxa" w:w="2556"/>
            <w:vAlign w:val="top"/>
          </w:tcPr>
          <w:p>
            <w:r>
              <w:t>400</w:t>
            </w:r>
          </w:p>
        </w:tc>
        <w:tc>
          <w:tcPr>
            <w:tcW w:type="dxa" w:w="2556"/>
            <w:vAlign w:val="top"/>
          </w:tcPr>
          <w:p>
            <w:r>
              <w:t>Run IDs, event keys, technical traces</w:t>
            </w:r>
          </w:p>
        </w:tc>
      </w:tr>
    </w:tbl>
    <w:p>
      <w:pPr>
        <w:pStyle w:val="Heading2"/>
      </w:pPr>
      <w:r>
        <w:t>4.3 Typography rules</w:t>
      </w:r>
    </w:p>
    <w:p>
      <w:pPr>
        <w:pStyle w:val="ListBullet"/>
      </w:pPr>
      <w:r>
        <w:t>Use sentence case, not Title Case everywhere.</w:t>
      </w:r>
    </w:p>
    <w:p>
      <w:pPr>
        <w:pStyle w:val="ListBullet"/>
      </w:pPr>
      <w:r>
        <w:t>Numbers in metric cards may use 28–32px semibold.</w:t>
      </w:r>
    </w:p>
    <w:p>
      <w:pPr>
        <w:pStyle w:val="ListBullet"/>
      </w:pPr>
      <w:r>
        <w:t>Never use all-caps for paragraphs. Small section labels may use uppercase sparingly with tracking.</w:t>
      </w:r>
    </w:p>
    <w:p>
      <w:pPr>
        <w:pStyle w:val="ListBullet"/>
      </w:pPr>
      <w:r>
        <w:t>Keep line length around 60–80 characters for long reading content.</w:t>
      </w:r>
    </w:p>
    <w:p>
      <w:pPr>
        <w:pStyle w:val="ListBullet"/>
      </w:pPr>
      <w:r>
        <w:t>Do not communicate hierarchy through font size alone; use spacing, weight and grouping.</w:t>
      </w:r>
    </w:p>
    <w:p>
      <w:pPr>
        <w:pStyle w:val="Heading1"/>
      </w:pPr>
      <w:r>
        <w:t>5. Spacing, Radius, Border &amp; Elevation</w:t>
      </w:r>
    </w:p>
    <w:p>
      <w:pPr>
        <w:pStyle w:val="Heading2"/>
      </w:pPr>
      <w:r>
        <w:t>5.1 Spacing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px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space-1</w:t>
            </w:r>
          </w:p>
        </w:tc>
        <w:tc>
          <w:tcPr>
            <w:tcW w:type="dxa" w:w="5112"/>
            <w:vAlign w:val="top"/>
          </w:tcPr>
          <w:p>
            <w:r>
              <w:t>4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space-2</w:t>
            </w:r>
          </w:p>
        </w:tc>
        <w:tc>
          <w:tcPr>
            <w:tcW w:type="dxa" w:w="5112"/>
            <w:vAlign w:val="top"/>
          </w:tcPr>
          <w:p>
            <w:r>
              <w:t>8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space-3</w:t>
            </w:r>
          </w:p>
        </w:tc>
        <w:tc>
          <w:tcPr>
            <w:tcW w:type="dxa" w:w="5112"/>
            <w:vAlign w:val="top"/>
          </w:tcPr>
          <w:p>
            <w:r>
              <w:t>12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space-4</w:t>
            </w:r>
          </w:p>
        </w:tc>
        <w:tc>
          <w:tcPr>
            <w:tcW w:type="dxa" w:w="5112"/>
            <w:vAlign w:val="top"/>
          </w:tcPr>
          <w:p>
            <w:r>
              <w:t>16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space-5</w:t>
            </w:r>
          </w:p>
        </w:tc>
        <w:tc>
          <w:tcPr>
            <w:tcW w:type="dxa" w:w="5112"/>
            <w:vAlign w:val="top"/>
          </w:tcPr>
          <w:p>
            <w:r>
              <w:t>20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space-6</w:t>
            </w:r>
          </w:p>
        </w:tc>
        <w:tc>
          <w:tcPr>
            <w:tcW w:type="dxa" w:w="5112"/>
            <w:vAlign w:val="top"/>
          </w:tcPr>
          <w:p>
            <w:r>
              <w:t>24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space-8</w:t>
            </w:r>
          </w:p>
        </w:tc>
        <w:tc>
          <w:tcPr>
            <w:tcW w:type="dxa" w:w="5112"/>
            <w:vAlign w:val="top"/>
          </w:tcPr>
          <w:p>
            <w:r>
              <w:t>32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space-10</w:t>
            </w:r>
          </w:p>
        </w:tc>
        <w:tc>
          <w:tcPr>
            <w:tcW w:type="dxa" w:w="5112"/>
            <w:vAlign w:val="top"/>
          </w:tcPr>
          <w:p>
            <w:r>
              <w:t>40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space-12</w:t>
            </w:r>
          </w:p>
        </w:tc>
        <w:tc>
          <w:tcPr>
            <w:tcW w:type="dxa" w:w="5112"/>
            <w:vAlign w:val="top"/>
          </w:tcPr>
          <w:p>
            <w:r>
              <w:t>48</w:t>
            </w:r>
          </w:p>
        </w:tc>
      </w:tr>
      <w:tr>
        <w:tc>
          <w:tcPr>
            <w:tcW w:type="dxa" w:w="5112"/>
            <w:vAlign w:val="top"/>
          </w:tcPr>
          <w:p>
            <w:r>
              <w:t>space-16</w:t>
            </w:r>
          </w:p>
        </w:tc>
        <w:tc>
          <w:tcPr>
            <w:tcW w:type="dxa" w:w="5112"/>
            <w:vAlign w:val="top"/>
          </w:tcPr>
          <w:p>
            <w:r>
              <w:t>64</w:t>
            </w:r>
          </w:p>
        </w:tc>
      </w:tr>
    </w:tbl>
    <w:p>
      <w:r>
        <w:t>16px and 24px are the dominant internal layout values. Do not introduce arbitrary values unless required by a precise optical adjustment.</w:t>
      </w:r>
    </w:p>
    <w:p>
      <w:pPr>
        <w:pStyle w:val="Heading2"/>
      </w:pPr>
      <w:r>
        <w:t>5.2 Radius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px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3408"/>
            <w:vAlign w:val="top"/>
          </w:tcPr>
          <w:p>
            <w:r>
              <w:t>radius-sm</w:t>
            </w:r>
          </w:p>
        </w:tc>
        <w:tc>
          <w:tcPr>
            <w:tcW w:type="dxa" w:w="3408"/>
            <w:vAlign w:val="top"/>
          </w:tcPr>
          <w:p>
            <w:r>
              <w:t>6</w:t>
            </w:r>
          </w:p>
        </w:tc>
        <w:tc>
          <w:tcPr>
            <w:tcW w:type="dxa" w:w="3408"/>
            <w:vAlign w:val="top"/>
          </w:tcPr>
          <w:p>
            <w:r>
              <w:t>Badges, compact controls</w:t>
            </w:r>
          </w:p>
        </w:tc>
      </w:tr>
      <w:tr>
        <w:tc>
          <w:tcPr>
            <w:tcW w:type="dxa" w:w="3408"/>
            <w:vAlign w:val="top"/>
          </w:tcPr>
          <w:p>
            <w:r>
              <w:t>radius-md</w:t>
            </w:r>
          </w:p>
        </w:tc>
        <w:tc>
          <w:tcPr>
            <w:tcW w:type="dxa" w:w="3408"/>
            <w:vAlign w:val="top"/>
          </w:tcPr>
          <w:p>
            <w:r>
              <w:t>8</w:t>
            </w:r>
          </w:p>
        </w:tc>
        <w:tc>
          <w:tcPr>
            <w:tcW w:type="dxa" w:w="3408"/>
            <w:vAlign w:val="top"/>
          </w:tcPr>
          <w:p>
            <w:r>
              <w:t>Buttons, inputs</w:t>
            </w:r>
          </w:p>
        </w:tc>
      </w:tr>
      <w:tr>
        <w:tc>
          <w:tcPr>
            <w:tcW w:type="dxa" w:w="3408"/>
            <w:vAlign w:val="top"/>
          </w:tcPr>
          <w:p>
            <w:r>
              <w:t>radius-lg</w:t>
            </w:r>
          </w:p>
        </w:tc>
        <w:tc>
          <w:tcPr>
            <w:tcW w:type="dxa" w:w="3408"/>
            <w:vAlign w:val="top"/>
          </w:tcPr>
          <w:p>
            <w:r>
              <w:t>10</w:t>
            </w:r>
          </w:p>
        </w:tc>
        <w:tc>
          <w:tcPr>
            <w:tcW w:type="dxa" w:w="3408"/>
            <w:vAlign w:val="top"/>
          </w:tcPr>
          <w:p>
            <w:r>
              <w:t>Cards</w:t>
            </w:r>
          </w:p>
        </w:tc>
      </w:tr>
      <w:tr>
        <w:tc>
          <w:tcPr>
            <w:tcW w:type="dxa" w:w="3408"/>
            <w:vAlign w:val="top"/>
          </w:tcPr>
          <w:p>
            <w:r>
              <w:t>radius-xl</w:t>
            </w:r>
          </w:p>
        </w:tc>
        <w:tc>
          <w:tcPr>
            <w:tcW w:type="dxa" w:w="3408"/>
            <w:vAlign w:val="top"/>
          </w:tcPr>
          <w:p>
            <w:r>
              <w:t>12</w:t>
            </w:r>
          </w:p>
        </w:tc>
        <w:tc>
          <w:tcPr>
            <w:tcW w:type="dxa" w:w="3408"/>
            <w:vAlign w:val="top"/>
          </w:tcPr>
          <w:p>
            <w:r>
              <w:t>Large panels/drawers</w:t>
            </w:r>
          </w:p>
        </w:tc>
      </w:tr>
      <w:tr>
        <w:tc>
          <w:tcPr>
            <w:tcW w:type="dxa" w:w="3408"/>
            <w:vAlign w:val="top"/>
          </w:tcPr>
          <w:p>
            <w:r>
              <w:t>radius-modal</w:t>
            </w:r>
          </w:p>
        </w:tc>
        <w:tc>
          <w:tcPr>
            <w:tcW w:type="dxa" w:w="3408"/>
            <w:vAlign w:val="top"/>
          </w:tcPr>
          <w:p>
            <w:r>
              <w:t>14</w:t>
            </w:r>
          </w:p>
        </w:tc>
        <w:tc>
          <w:tcPr>
            <w:tcW w:type="dxa" w:w="3408"/>
            <w:vAlign w:val="top"/>
          </w:tcPr>
          <w:p>
            <w:r>
              <w:t>Modal surfaces</w:t>
            </w:r>
          </w:p>
        </w:tc>
      </w:tr>
      <w:tr>
        <w:tc>
          <w:tcPr>
            <w:tcW w:type="dxa" w:w="3408"/>
            <w:vAlign w:val="top"/>
          </w:tcPr>
          <w:p>
            <w:r>
              <w:t>radius-full</w:t>
            </w:r>
          </w:p>
        </w:tc>
        <w:tc>
          <w:tcPr>
            <w:tcW w:type="dxa" w:w="3408"/>
            <w:vAlign w:val="top"/>
          </w:tcPr>
          <w:p>
            <w:r>
              <w:t>9999</w:t>
            </w:r>
          </w:p>
        </w:tc>
        <w:tc>
          <w:tcPr>
            <w:tcW w:type="dxa" w:w="3408"/>
            <w:vAlign w:val="top"/>
          </w:tcPr>
          <w:p>
            <w:r>
              <w:t>Avatar and true pills only</w:t>
            </w:r>
          </w:p>
        </w:tc>
      </w:tr>
    </w:tbl>
    <w:p>
      <w:pPr>
        <w:pStyle w:val="Heading2"/>
      </w:pPr>
      <w:r>
        <w:t>5.3 Borders and shadows</w:t>
      </w:r>
    </w:p>
    <w:p>
      <w:pPr>
        <w:pStyle w:val="ListBullet"/>
      </w:pPr>
      <w:r>
        <w:t>Default container separation: 1px solid color.border.default.</w:t>
      </w:r>
    </w:p>
    <w:p>
      <w:pPr>
        <w:pStyle w:val="ListBullet"/>
      </w:pPr>
      <w:r>
        <w:t>Prefer borders and surface contrast to shadows.</w:t>
      </w:r>
    </w:p>
    <w:p>
      <w:pPr>
        <w:pStyle w:val="ListBullet"/>
      </w:pPr>
      <w:r>
        <w:t>Cards resting in the page flow generally have no shadow.</w:t>
      </w:r>
    </w:p>
    <w:p>
      <w:pPr>
        <w:pStyle w:val="ListBullet"/>
      </w:pPr>
      <w:r>
        <w:t>Use subtle elevation only for menus, popovers, command palette, modal, floating toast and temporary overlays.</w:t>
      </w:r>
    </w:p>
    <w:p>
      <w:pPr>
        <w:pStyle w:val="ListBullet"/>
      </w:pPr>
      <w:r>
        <w:t>Never use heavy ambient shadows around every dashboard card.</w:t>
      </w:r>
    </w:p>
    <w:p>
      <w:pPr>
        <w:pStyle w:val="Heading1"/>
      </w:pPr>
      <w:r>
        <w:t>6. Iconography &amp; Motion</w:t>
      </w:r>
    </w:p>
    <w:p>
      <w:pPr>
        <w:pStyle w:val="Heading2"/>
      </w:pPr>
      <w:r>
        <w:t>6.1 Icons</w:t>
      </w:r>
    </w:p>
    <w:p>
      <w:r>
        <w:t>Use Lucide icons consistently. Default stroke 1.75–2px. Standard sizes: 16, 18, 20 and 24px. Never mix multiple icon libraries or emoji as interface icons.</w:t>
      </w:r>
    </w:p>
    <w:p>
      <w:pPr>
        <w:pStyle w:val="Heading2"/>
      </w:pPr>
      <w:r>
        <w:t>6.2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Micro state / hover</w:t>
            </w:r>
          </w:p>
        </w:tc>
        <w:tc>
          <w:tcPr>
            <w:tcW w:type="dxa" w:w="5112"/>
            <w:vAlign w:val="top"/>
          </w:tcPr>
          <w:p>
            <w:r>
              <w:t>100–150ms</w:t>
            </w:r>
          </w:p>
        </w:tc>
      </w:tr>
      <w:tr>
        <w:tc>
          <w:tcPr>
            <w:tcW w:type="dxa" w:w="5112"/>
            <w:vAlign w:val="top"/>
          </w:tcPr>
          <w:p>
            <w:r>
              <w:t>Panel / drawer</w:t>
            </w:r>
          </w:p>
        </w:tc>
        <w:tc>
          <w:tcPr>
            <w:tcW w:type="dxa" w:w="5112"/>
            <w:vAlign w:val="top"/>
          </w:tcPr>
          <w:p>
            <w:r>
              <w:t>150–200ms</w:t>
            </w:r>
          </w:p>
        </w:tc>
      </w:tr>
      <w:tr>
        <w:tc>
          <w:tcPr>
            <w:tcW w:type="dxa" w:w="5112"/>
            <w:vAlign w:val="top"/>
          </w:tcPr>
          <w:p>
            <w:r>
              <w:t>Toast / modal</w:t>
            </w:r>
          </w:p>
        </w:tc>
        <w:tc>
          <w:tcPr>
            <w:tcW w:type="dxa" w:w="5112"/>
            <w:vAlign w:val="top"/>
          </w:tcPr>
          <w:p>
            <w:r>
              <w:t>180–250ms</w:t>
            </w:r>
          </w:p>
        </w:tc>
      </w:tr>
      <w:tr>
        <w:tc>
          <w:tcPr>
            <w:tcW w:type="dxa" w:w="5112"/>
            <w:vAlign w:val="top"/>
          </w:tcPr>
          <w:p>
            <w:r>
              <w:t>Agent pulse</w:t>
            </w:r>
          </w:p>
        </w:tc>
        <w:tc>
          <w:tcPr>
            <w:tcW w:type="dxa" w:w="5112"/>
            <w:vAlign w:val="top"/>
          </w:tcPr>
          <w:p>
            <w:r>
              <w:t>Very subtle; slow and non-distracting</w:t>
            </w:r>
          </w:p>
        </w:tc>
      </w:tr>
    </w:tbl>
    <w:p>
      <w:pPr>
        <w:pStyle w:val="ListBullet"/>
      </w:pPr>
      <w:r>
        <w:t>Use ease-out for entrances and ease-in for exits.</w:t>
      </w:r>
    </w:p>
    <w:p>
      <w:pPr>
        <w:pStyle w:val="ListBullet"/>
      </w:pPr>
      <w:r>
        <w:t>Motion communicates state change; it is not decoration.</w:t>
      </w:r>
    </w:p>
    <w:p>
      <w:pPr>
        <w:pStyle w:val="ListBullet"/>
      </w:pPr>
      <w:r>
        <w:t>Honor prefers-reduced-motion.</w:t>
      </w:r>
    </w:p>
    <w:p>
      <w:pPr>
        <w:pStyle w:val="ListBullet"/>
      </w:pPr>
      <w:r>
        <w:t>Never use perpetual decorative motion except a subtle agent-running indicator.</w:t>
      </w:r>
    </w:p>
    <w:p>
      <w:pPr>
        <w:pStyle w:val="Heading1"/>
      </w:pPr>
      <w:r>
        <w:t>7. Navigation</w:t>
      </w:r>
    </w:p>
    <w:p>
      <w:pPr>
        <w:pStyle w:val="Heading2"/>
      </w:pPr>
      <w:r>
        <w:t>7.1 Desktop sidebar</w:t>
      </w:r>
    </w:p>
    <w:p>
      <w:r>
        <w:t>Sections: MAIN — Overview, Opportunities, Inbox, Activity. WORKSPACE — CVs, Profile, Agent Rules. SYSTEM — Integrations, Settings. Bottom area: agent status and user menu.</w:t>
      </w:r>
    </w:p>
    <w:p>
      <w:pPr>
        <w:pStyle w:val="ListBullet"/>
      </w:pPr>
      <w:r>
        <w:t>Selected item: brand-subtle background + brand icon/text; do not use a giant filled pill.</w:t>
      </w:r>
    </w:p>
    <w:p>
      <w:pPr>
        <w:pStyle w:val="ListBullet"/>
      </w:pPr>
      <w:r>
        <w:t>Unread/attention count may appear as a compact badge.</w:t>
      </w:r>
    </w:p>
    <w:p>
      <w:pPr>
        <w:pStyle w:val="ListBullet"/>
      </w:pPr>
      <w:r>
        <w:t>Agent status remains visible near the bottom: Running, Paused, Attention, Offline/Error.</w:t>
      </w:r>
    </w:p>
    <w:p>
      <w:pPr>
        <w:pStyle w:val="ListBullet"/>
      </w:pPr>
      <w:r>
        <w:t>Sidebar collapse is optional for MVP but architecture should permit it.</w:t>
      </w:r>
    </w:p>
    <w:p>
      <w:pPr>
        <w:pStyle w:val="Heading2"/>
      </w:pPr>
      <w:r>
        <w:t>7.2 Top bar</w:t>
      </w:r>
    </w:p>
    <w:p>
      <w:pPr>
        <w:pStyle w:val="ListBullet"/>
      </w:pPr>
      <w:r>
        <w:t>Current page context/breadcrumb when needed.</w:t>
      </w:r>
    </w:p>
    <w:p>
      <w:pPr>
        <w:pStyle w:val="ListBullet"/>
      </w:pPr>
      <w:r>
        <w:t>Global search / command palette trigger.</w:t>
      </w:r>
    </w:p>
    <w:p>
      <w:pPr>
        <w:pStyle w:val="ListBullet"/>
      </w:pPr>
      <w:r>
        <w:t>Agent status shortcut.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Primary contextual action only when the page genuinely has one.</w:t>
      </w:r>
    </w:p>
    <w:p>
      <w:pPr>
        <w:pStyle w:val="Heading1"/>
      </w:pPr>
      <w:r>
        <w:t>8. Core Component Specifications</w:t>
      </w:r>
    </w:p>
    <w:p>
      <w:pPr>
        <w:pStyle w:val="Heading2"/>
      </w:pPr>
      <w:r>
        <w:t>8.1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Appearance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08"/>
            <w:vAlign w:val="top"/>
          </w:tcPr>
          <w:p>
            <w:r>
              <w:t>Primary</w:t>
            </w:r>
          </w:p>
        </w:tc>
        <w:tc>
          <w:tcPr>
            <w:tcW w:type="dxa" w:w="3408"/>
            <w:vAlign w:val="top"/>
          </w:tcPr>
          <w:p>
            <w:r>
              <w:t>Indigo 600 bg, white text, 8px radius</w:t>
            </w:r>
          </w:p>
        </w:tc>
        <w:tc>
          <w:tcPr>
            <w:tcW w:type="dxa" w:w="3408"/>
            <w:vAlign w:val="top"/>
          </w:tcPr>
          <w:p>
            <w:r>
              <w:t>Single primary 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Secondary</w:t>
            </w:r>
          </w:p>
        </w:tc>
        <w:tc>
          <w:tcPr>
            <w:tcW w:type="dxa" w:w="3408"/>
            <w:vAlign w:val="top"/>
          </w:tcPr>
          <w:p>
            <w:r>
              <w:t>White/surface, default border, primary text</w:t>
            </w:r>
          </w:p>
        </w:tc>
        <w:tc>
          <w:tcPr>
            <w:tcW w:type="dxa" w:w="3408"/>
            <w:vAlign w:val="top"/>
          </w:tcPr>
          <w:p>
            <w:r>
              <w:t>Secondary 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Tertiary</w:t>
            </w:r>
          </w:p>
        </w:tc>
        <w:tc>
          <w:tcPr>
            <w:tcW w:type="dxa" w:w="3408"/>
            <w:vAlign w:val="top"/>
          </w:tcPr>
          <w:p>
            <w:r>
              <w:t>Transparent, text/icon only</w:t>
            </w:r>
          </w:p>
        </w:tc>
        <w:tc>
          <w:tcPr>
            <w:tcW w:type="dxa" w:w="3408"/>
            <w:vAlign w:val="top"/>
          </w:tcPr>
          <w:p>
            <w:r>
              <w:t>Low-emphasis 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Danger</w:t>
            </w:r>
          </w:p>
        </w:tc>
        <w:tc>
          <w:tcPr>
            <w:tcW w:type="dxa" w:w="3408"/>
            <w:vAlign w:val="top"/>
          </w:tcPr>
          <w:p>
            <w:r>
              <w:t>Red treatment</w:t>
            </w:r>
          </w:p>
        </w:tc>
        <w:tc>
          <w:tcPr>
            <w:tcW w:type="dxa" w:w="3408"/>
            <w:vAlign w:val="top"/>
          </w:tcPr>
          <w:p>
            <w:r>
              <w:t>Destructive action only</w:t>
            </w:r>
          </w:p>
        </w:tc>
      </w:tr>
      <w:tr>
        <w:tc>
          <w:tcPr>
            <w:tcW w:type="dxa" w:w="3408"/>
            <w:vAlign w:val="top"/>
          </w:tcPr>
          <w:p>
            <w:r>
              <w:t>Icon</w:t>
            </w:r>
          </w:p>
        </w:tc>
        <w:tc>
          <w:tcPr>
            <w:tcW w:type="dxa" w:w="3408"/>
            <w:vAlign w:val="top"/>
          </w:tcPr>
          <w:p>
            <w:r>
              <w:t>40x40 desktop; accessible label required</w:t>
            </w:r>
          </w:p>
        </w:tc>
        <w:tc>
          <w:tcPr>
            <w:tcW w:type="dxa" w:w="3408"/>
            <w:vAlign w:val="top"/>
          </w:tcPr>
          <w:p>
            <w:r>
              <w:t>Toolbar actions</w:t>
            </w:r>
          </w:p>
        </w:tc>
      </w:tr>
    </w:tbl>
    <w:p>
      <w:r>
        <w:t>Default button height 40px; compact 32–36px; mobile primary touch target ~44px minimum. Disabled state must remain readable.</w:t>
      </w:r>
    </w:p>
    <w:p>
      <w:pPr>
        <w:pStyle w:val="Heading2"/>
      </w:pPr>
      <w:r>
        <w:t>8.2 Inputs</w:t>
      </w:r>
    </w:p>
    <w:p>
      <w:pPr>
        <w:pStyle w:val="ListBullet"/>
      </w:pPr>
      <w:r>
        <w:t>Height 40–44px; radius 8px; 1px border.</w:t>
      </w:r>
    </w:p>
    <w:p>
      <w:pPr>
        <w:pStyle w:val="ListBullet"/>
      </w:pPr>
      <w:r>
        <w:t>Persistent visible label above field. Placeholder is never the only label.</w:t>
      </w:r>
    </w:p>
    <w:p>
      <w:pPr>
        <w:pStyle w:val="ListBullet"/>
      </w:pPr>
      <w:r>
        <w:t>Focus: clearly visible 2px focus ring with offset where needed.</w:t>
      </w:r>
    </w:p>
    <w:p>
      <w:pPr>
        <w:pStyle w:val="ListBullet"/>
      </w:pPr>
      <w:r>
        <w:t>Error state includes message text, not just red border.</w:t>
      </w:r>
    </w:p>
    <w:p>
      <w:pPr>
        <w:pStyle w:val="ListBullet"/>
      </w:pPr>
      <w:r>
        <w:t>Helper text sits below input and uses secondary/muted text.</w:t>
      </w:r>
    </w:p>
    <w:p>
      <w:pPr>
        <w:pStyle w:val="Heading2"/>
      </w:pPr>
      <w:r>
        <w:t>8.3 Status badge</w:t>
      </w:r>
    </w:p>
    <w:p>
      <w:r>
        <w:t>Badge always contains icon or semantic mark + readable label. Examples: New, Evaluating, Qualified, Prepared, Applied, Contacted, Replied, Needs attention, Rejected, Offer, Won, Failed.</w:t>
      </w:r>
    </w:p>
    <w:p>
      <w:pPr>
        <w:pStyle w:val="Heading2"/>
      </w:pPr>
      <w:r>
        <w:t>8.4 Match score</w:t>
      </w:r>
    </w:p>
    <w:p>
      <w:pPr>
        <w:pStyle w:val="ListBullet"/>
      </w:pPr>
      <w:r>
        <w:t>Display score plus qualitative label: e.g. 91% · Strong match.</w:t>
      </w:r>
    </w:p>
    <w:p>
      <w:pPr>
        <w:pStyle w:val="ListBullet"/>
      </w:pPr>
      <w:r>
        <w:t>Never use the number alone.</w:t>
      </w:r>
    </w:p>
    <w:p>
      <w:pPr>
        <w:pStyle w:val="ListBullet"/>
      </w:pPr>
      <w:r>
        <w:t>Click/expand reveals scoring dimensions, matched skills, gaps and reasoning.</w:t>
      </w:r>
    </w:p>
    <w:p>
      <w:pPr>
        <w:pStyle w:val="ListBullet"/>
      </w:pPr>
      <w:r>
        <w:t>Match score and agent confidence are separate concepts and separate UI fields.</w:t>
      </w:r>
    </w:p>
    <w:p>
      <w:pPr>
        <w:pStyle w:val="Heading2"/>
      </w:pPr>
      <w:r>
        <w:t>8.5 Cards</w:t>
      </w:r>
    </w:p>
    <w:p>
      <w:pPr>
        <w:pStyle w:val="ListBullet"/>
      </w:pPr>
      <w:r>
        <w:t>Standard padding 20–24px.</w:t>
      </w:r>
    </w:p>
    <w:p>
      <w:pPr>
        <w:pStyle w:val="ListBullet"/>
      </w:pPr>
      <w:r>
        <w:t>Use for attention items, summary metrics, integrations, CVs and contextual groups.</w:t>
      </w:r>
    </w:p>
    <w:p>
      <w:pPr>
        <w:pStyle w:val="ListBullet"/>
      </w:pPr>
      <w:r>
        <w:t>Do not nest cards more than one level deep unless unavoidable.</w:t>
      </w:r>
    </w:p>
    <w:p>
      <w:pPr>
        <w:pStyle w:val="ListBullet"/>
      </w:pPr>
      <w:r>
        <w:t>Clickable cards need obvious hover/focus behavior and must remain keyboard accessible.</w:t>
      </w:r>
    </w:p>
    <w:p>
      <w:pPr>
        <w:pStyle w:val="Heading2"/>
      </w:pPr>
      <w:r>
        <w:t>8.6 Data table/list</w:t>
      </w:r>
    </w:p>
    <w:p>
      <w:pPr>
        <w:pStyle w:val="ListBullet"/>
      </w:pPr>
      <w:r>
        <w:t>Sticky header for long lists.</w:t>
      </w:r>
    </w:p>
    <w:p>
      <w:pPr>
        <w:pStyle w:val="ListBullet"/>
      </w:pPr>
      <w:r>
        <w:t>Row click opens detail drawer; explicit row actions remain available.</w:t>
      </w:r>
    </w:p>
    <w:p>
      <w:pPr>
        <w:pStyle w:val="ListBullet"/>
      </w:pPr>
      <w:r>
        <w:t>Sortable headers show current direction.</w:t>
      </w:r>
    </w:p>
    <w:p>
      <w:pPr>
        <w:pStyle w:val="ListBullet"/>
      </w:pPr>
      <w:r>
        <w:t>Filters persist in URL/query state where practical.</w:t>
      </w:r>
    </w:p>
    <w:p>
      <w:pPr>
        <w:pStyle w:val="ListBullet"/>
      </w:pPr>
      <w:r>
        <w:t>Use pagination or virtualization once data volume requires it.</w:t>
      </w:r>
    </w:p>
    <w:p>
      <w:pPr>
        <w:pStyle w:val="ListBullet"/>
      </w:pPr>
      <w:r>
        <w:t>Mobile converts complex rows into stacked list items rather than horizontal scrolling for core tasks.</w:t>
      </w:r>
    </w:p>
    <w:p>
      <w:pPr>
        <w:pStyle w:val="Heading2"/>
      </w:pPr>
      <w:r>
        <w:t>8.7 Toast</w:t>
      </w:r>
    </w:p>
    <w:p>
      <w:r>
        <w:t>Use to confirm transient actions such as 'Application approved'. Never use toast as the only place for critical errors or information the user may need later.</w:t>
      </w:r>
    </w:p>
    <w:p>
      <w:pPr>
        <w:pStyle w:val="Heading2"/>
      </w:pPr>
      <w:r>
        <w:t>8.8 Modal</w:t>
      </w:r>
    </w:p>
    <w:p>
      <w:r>
        <w:t>Reserve for focused decisions, destructive confirmations and short forms. Do not turn routine navigation or large detail views into modals.</w:t>
      </w:r>
    </w:p>
    <w:p>
      <w:pPr>
        <w:pStyle w:val="Heading2"/>
      </w:pPr>
      <w:r>
        <w:t>8.9 Detail drawer</w:t>
      </w:r>
    </w:p>
    <w:p>
      <w:r>
        <w:t>Desktop width 420–480px. Used for rapid opportunity/conversation inspection without losing list context. Contains summary, reasoning, status, CV used, recent activity and contextual actions. Full-page detail remains available.</w:t>
      </w:r>
    </w:p>
    <w:p>
      <w:pPr>
        <w:pStyle w:val="Heading1"/>
      </w:pPr>
      <w:r>
        <w:t>9. Agent-Specific UX</w:t>
      </w:r>
    </w:p>
    <w:p>
      <w:pPr>
        <w:pStyle w:val="Heading2"/>
      </w:pPr>
      <w:r>
        <w:t>9.1 Persistent agent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Presentation</w:t>
            </w:r>
          </w:p>
        </w:tc>
      </w:tr>
      <w:tr>
        <w:tc>
          <w:tcPr>
            <w:tcW w:type="dxa" w:w="5112"/>
            <w:vAlign w:val="top"/>
          </w:tcPr>
          <w:p>
            <w:r>
              <w:t>Running</w:t>
            </w:r>
          </w:p>
        </w:tc>
        <w:tc>
          <w:tcPr>
            <w:tcW w:type="dxa" w:w="5112"/>
            <w:vAlign w:val="top"/>
          </w:tcPr>
          <w:p>
            <w:r>
              <w:t>Brand indicator + 'Agent running'</w:t>
            </w:r>
          </w:p>
        </w:tc>
      </w:tr>
      <w:tr>
        <w:tc>
          <w:tcPr>
            <w:tcW w:type="dxa" w:w="5112"/>
            <w:vAlign w:val="top"/>
          </w:tcPr>
          <w:p>
            <w:r>
              <w:t>Paused</w:t>
            </w:r>
          </w:p>
        </w:tc>
        <w:tc>
          <w:tcPr>
            <w:tcW w:type="dxa" w:w="5112"/>
            <w:vAlign w:val="top"/>
          </w:tcPr>
          <w:p>
            <w:r>
              <w:t>Neutral/amber treatment + 'Paused'</w:t>
            </w:r>
          </w:p>
        </w:tc>
      </w:tr>
      <w:tr>
        <w:tc>
          <w:tcPr>
            <w:tcW w:type="dxa" w:w="5112"/>
            <w:vAlign w:val="top"/>
          </w:tcPr>
          <w:p>
            <w:r>
              <w:t>Needs attention</w:t>
            </w:r>
          </w:p>
        </w:tc>
        <w:tc>
          <w:tcPr>
            <w:tcW w:type="dxa" w:w="5112"/>
            <w:vAlign w:val="top"/>
          </w:tcPr>
          <w:p>
            <w:r>
              <w:t>Warning indicator + count</w:t>
            </w:r>
          </w:p>
        </w:tc>
      </w:tr>
      <w:tr>
        <w:tc>
          <w:tcPr>
            <w:tcW w:type="dxa" w:w="5112"/>
            <w:vAlign w:val="top"/>
          </w:tcPr>
          <w:p>
            <w:r>
              <w:t>Integration problem</w:t>
            </w:r>
          </w:p>
        </w:tc>
        <w:tc>
          <w:tcPr>
            <w:tcW w:type="dxa" w:w="5112"/>
            <w:vAlign w:val="top"/>
          </w:tcPr>
          <w:p>
            <w:r>
              <w:t>Danger indicator + concise cause</w:t>
            </w:r>
          </w:p>
        </w:tc>
      </w:tr>
      <w:tr>
        <w:tc>
          <w:tcPr>
            <w:tcW w:type="dxa" w:w="5112"/>
            <w:vAlign w:val="top"/>
          </w:tcPr>
          <w:p>
            <w:r>
              <w:t>Processing</w:t>
            </w:r>
          </w:p>
        </w:tc>
        <w:tc>
          <w:tcPr>
            <w:tcW w:type="dxa" w:w="5112"/>
            <w:vAlign w:val="top"/>
          </w:tcPr>
          <w:p>
            <w:r>
              <w:t>Subtle activity indicator + current operation where useful</w:t>
            </w:r>
          </w:p>
        </w:tc>
      </w:tr>
    </w:tbl>
    <w:p>
      <w:r>
        <w:t>The user must be able to pause Pursio from every major desktop page and from mobile Home/More.</w:t>
      </w:r>
    </w:p>
    <w:p>
      <w:pPr>
        <w:pStyle w:val="Heading2"/>
      </w:pPr>
      <w:r>
        <w:t>9.2 Agent progress</w:t>
      </w:r>
    </w:p>
    <w:p>
      <w:r>
        <w:t>For multi-step work, show meaningful steps rather than a generic spinner: Job extracted → Requirements identified → Comparing profile → Selecting CV → Preparing application.</w:t>
      </w:r>
    </w:p>
    <w:p>
      <w:pPr>
        <w:pStyle w:val="Heading2"/>
      </w:pPr>
      <w:r>
        <w:t>9.3 Explainability</w:t>
      </w:r>
    </w:p>
    <w:p>
      <w:pPr>
        <w:pStyle w:val="ListBullet"/>
      </w:pPr>
      <w:r>
        <w:t>Every autonomous send exposes: trigger, opportunity, selected CV/material, relevant rules, policy decision, timestamp and final content.</w:t>
      </w:r>
    </w:p>
    <w:p>
      <w:pPr>
        <w:pStyle w:val="ListBullet"/>
      </w:pPr>
      <w:r>
        <w:t>Skipped opportunities expose the decisive reason.</w:t>
      </w:r>
    </w:p>
    <w:p>
      <w:pPr>
        <w:pStyle w:val="ListBullet"/>
      </w:pPr>
      <w:r>
        <w:t>Low-confidence extraction is explicitly labeled and routed to review.</w:t>
      </w:r>
    </w:p>
    <w:p>
      <w:pPr>
        <w:pStyle w:val="ListBullet"/>
      </w:pPr>
      <w:r>
        <w:t>Do not expose raw chain-of-thought. Present concise user-facing reasons/evidence.</w:t>
      </w:r>
    </w:p>
    <w:p>
      <w:pPr>
        <w:pStyle w:val="Heading2"/>
      </w:pPr>
      <w:r>
        <w:t>9.4 Human control</w:t>
      </w:r>
    </w:p>
    <w:p>
      <w:pPr>
        <w:pStyle w:val="ListBullet"/>
      </w:pPr>
      <w:r>
        <w:t>Global Pause is immediate and prominent.</w:t>
      </w:r>
    </w:p>
    <w:p>
      <w:pPr>
        <w:pStyle w:val="ListBullet"/>
      </w:pPr>
      <w:r>
        <w:t>Restricted actions show why approval is required.</w:t>
      </w:r>
    </w:p>
    <w:p>
      <w:pPr>
        <w:pStyle w:val="ListBullet"/>
      </w:pPr>
      <w:r>
        <w:t>Where an action can be undone safely, expose Undo.</w:t>
      </w:r>
    </w:p>
    <w:p>
      <w:pPr>
        <w:pStyle w:val="ListBullet"/>
      </w:pPr>
      <w:r>
        <w:t>Do not pretend an external send can be undone after delivery.</w:t>
      </w:r>
    </w:p>
    <w:p>
      <w:pPr>
        <w:pStyle w:val="ListBullet"/>
      </w:pPr>
      <w:r>
        <w:t>Do-not-contact and unsubscribe states override all follow-up UI.</w:t>
      </w:r>
    </w:p>
    <w:p>
      <w:pPr>
        <w:pStyle w:val="Heading1"/>
      </w:pPr>
      <w:r>
        <w:t>10. Screen-by-Screen Specification</w:t>
      </w:r>
    </w:p>
    <w:p>
      <w:pPr>
        <w:pStyle w:val="Heading2"/>
      </w:pPr>
      <w:r>
        <w:t>10.1 Onboarding</w:t>
      </w:r>
    </w:p>
    <w:p>
      <w:pPr>
        <w:pStyle w:val="ListNumber"/>
      </w:pPr>
      <w:r>
        <w:t>Welcome: explain Pursio in one sentence; CTA 'Set up Pursio'.</w:t>
      </w:r>
    </w:p>
    <w:p>
      <w:pPr>
        <w:pStyle w:val="ListNumber"/>
      </w:pPr>
      <w:r>
        <w:t>Professional profile: role, skills, experience, portfolio/GitHub, preferences.</w:t>
      </w:r>
    </w:p>
    <w:p>
      <w:pPr>
        <w:pStyle w:val="ListNumber"/>
      </w:pPr>
      <w:r>
        <w:t>Opportunity preferences: job types, work mode, location, compensation floor, exclusions.</w:t>
      </w:r>
    </w:p>
    <w:p>
      <w:pPr>
        <w:pStyle w:val="ListNumber"/>
      </w:pPr>
      <w:r>
        <w:t>CV setup: upload one or more CVs, label them, review extracted facts.</w:t>
      </w:r>
    </w:p>
    <w:p>
      <w:pPr>
        <w:pStyle w:val="ListNumber"/>
      </w:pPr>
      <w:r>
        <w:t>Connect Gmail: explain exactly what Pursio needs access to and why.</w:t>
      </w:r>
    </w:p>
    <w:p>
      <w:pPr>
        <w:pStyle w:val="ListNumber"/>
      </w:pPr>
      <w:r>
        <w:t>Autonomy: choose Observe, Prepare, or Controlled Auto-Apply; show consequences.</w:t>
      </w:r>
    </w:p>
    <w:p>
      <w:pPr>
        <w:pStyle w:val="ListNumber"/>
      </w:pPr>
      <w:r>
        <w:t>Review rules: summarize constraints and daily limits.</w:t>
      </w:r>
    </w:p>
    <w:p>
      <w:pPr>
        <w:pStyle w:val="ListNumber"/>
      </w:pPr>
      <w:r>
        <w:t>Ready screen: source health + first sync status.</w:t>
      </w:r>
    </w:p>
    <w:p>
      <w:r>
        <w:t>Use a clear stepper. Allow save-and-resume. Do not request every possible setting during onboarding; advanced rules belong in Agent Rules.</w:t>
      </w:r>
    </w:p>
    <w:p>
      <w:pPr>
        <w:pStyle w:val="Heading2"/>
      </w:pPr>
      <w:r>
        <w:t>10.2 Overview / Home</w:t>
      </w:r>
    </w:p>
    <w:p>
      <w:pPr>
        <w:pStyle w:val="ListBullet"/>
      </w:pPr>
      <w:r>
        <w:t>Header: greeting/context + Agent Running/Paused control.</w:t>
      </w:r>
    </w:p>
    <w:p>
      <w:pPr>
        <w:pStyle w:val="ListBullet"/>
      </w:pPr>
      <w:r>
        <w:t>Four metrics maximum: Found, Qualified, Actions taken, Replies.</w:t>
      </w:r>
    </w:p>
    <w:p>
      <w:pPr>
        <w:pStyle w:val="ListBullet"/>
      </w:pPr>
      <w:r>
        <w:t>Primary section: Needs your attention. This must appear above routine activity.</w:t>
      </w:r>
    </w:p>
    <w:p>
      <w:pPr>
        <w:pStyle w:val="ListBullet"/>
      </w:pPr>
      <w:r>
        <w:t>Secondary: High-match/new opportunities.</w:t>
      </w:r>
    </w:p>
    <w:p>
      <w:pPr>
        <w:pStyle w:val="ListBullet"/>
      </w:pPr>
      <w:r>
        <w:t>Activity stream: latest agent events.</w:t>
      </w:r>
    </w:p>
    <w:p>
      <w:pPr>
        <w:pStyle w:val="ListBullet"/>
      </w:pPr>
      <w:r>
        <w:t>Compact agent health: Gmail sync, queue/worker health, daily limits.</w:t>
      </w:r>
    </w:p>
    <w:p>
      <w:pPr>
        <w:pStyle w:val="ListBullet"/>
      </w:pPr>
      <w:r>
        <w:t>Weekly funnel may appear only if enough data exists.</w:t>
      </w:r>
    </w:p>
    <w:p>
      <w:pPr>
        <w:pStyle w:val="Heading2"/>
      </w:pPr>
      <w:r>
        <w:t>10.3 Opportunities</w:t>
      </w:r>
    </w:p>
    <w:p>
      <w:pPr>
        <w:pStyle w:val="ListBullet"/>
      </w:pPr>
      <w:r>
        <w:t>Tabs: All, Jobs, Clients; counts included.</w:t>
      </w:r>
    </w:p>
    <w:p>
      <w:pPr>
        <w:pStyle w:val="ListBullet"/>
      </w:pPr>
      <w:r>
        <w:t>Search, filters, sort. Default sort may prioritize attention then match/recency.</w:t>
      </w:r>
    </w:p>
    <w:p>
      <w:pPr>
        <w:pStyle w:val="ListBullet"/>
      </w:pPr>
      <w:r>
        <w:t>Default view: list/table. Optional Pipeline toggle.</w:t>
      </w:r>
    </w:p>
    <w:p>
      <w:pPr>
        <w:pStyle w:val="ListBullet"/>
      </w:pPr>
      <w:r>
        <w:t>Columns: Company, Opportunity, Type/Source, Match, Status, Updated. Compensation/location appear responsively or as secondary metadata.</w:t>
      </w:r>
    </w:p>
    <w:p>
      <w:pPr>
        <w:pStyle w:val="ListBullet"/>
      </w:pPr>
      <w:r>
        <w:t>Click row → detail drawer. Open full detail from drawer.</w:t>
      </w:r>
    </w:p>
    <w:p>
      <w:pPr>
        <w:pStyle w:val="ListBullet"/>
      </w:pPr>
      <w:r>
        <w:t>Bulk actions should not exist until there is a safe, proven use case.</w:t>
      </w:r>
    </w:p>
    <w:p>
      <w:pPr>
        <w:pStyle w:val="Heading2"/>
      </w:pPr>
      <w:r>
        <w:t>10.4 Opportunity detail</w:t>
      </w:r>
    </w:p>
    <w:p>
      <w:pPr>
        <w:pStyle w:val="ListBullet"/>
      </w:pPr>
      <w:r>
        <w:t>Header: company, title/service need, status, source, primary action.</w:t>
      </w:r>
    </w:p>
    <w:p>
      <w:pPr>
        <w:pStyle w:val="ListBullet"/>
      </w:pPr>
      <w:r>
        <w:t>Summary: location/work mode, compensation, deadline, discovered time.</w:t>
      </w:r>
    </w:p>
    <w:p>
      <w:pPr>
        <w:pStyle w:val="ListBullet"/>
      </w:pPr>
      <w:r>
        <w:t>Match: score + confidence + hard-rule status.</w:t>
      </w:r>
    </w:p>
    <w:p>
      <w:pPr>
        <w:pStyle w:val="ListBullet"/>
      </w:pPr>
      <w:r>
        <w:t>Why it matches: strongest matches, gaps, unknowns, reasoning.</w:t>
      </w:r>
    </w:p>
    <w:p>
      <w:pPr>
        <w:pStyle w:val="ListBullet"/>
      </w:pPr>
      <w:r>
        <w:t>Requirements: structured list with required/preferred distinction.</w:t>
      </w:r>
    </w:p>
    <w:p>
      <w:pPr>
        <w:pStyle w:val="ListBullet"/>
      </w:pPr>
      <w:r>
        <w:t>Application/outreach: selected CV, generated message, attachments, action state.</w:t>
      </w:r>
    </w:p>
    <w:p>
      <w:pPr>
        <w:pStyle w:val="ListBullet"/>
      </w:pPr>
      <w:r>
        <w:t>Conversation: thread preview if one exists.</w:t>
      </w:r>
    </w:p>
    <w:p>
      <w:pPr>
        <w:pStyle w:val="ListBullet"/>
      </w:pPr>
      <w:r>
        <w:t>Timeline: discovery → evaluation → preparation → action → reply/outcome.</w:t>
      </w:r>
    </w:p>
    <w:p>
      <w:pPr>
        <w:pStyle w:val="ListBullet"/>
      </w:pPr>
      <w:r>
        <w:t>Raw source link/message is accessible but not the default visual focus.</w:t>
      </w:r>
    </w:p>
    <w:p>
      <w:pPr>
        <w:pStyle w:val="Heading2"/>
      </w:pPr>
      <w:r>
        <w:t>10.5 Needs Your Attention</w:t>
      </w:r>
    </w:p>
    <w:p>
      <w:r>
        <w:t>This is a first-class experience, not merely a notification list. Group items by urgency: Reply/Interview, Approval required, Missing information, Integration/problem. Each card explains why the user is needed and offers one clear next action.</w:t>
      </w:r>
    </w:p>
    <w:p>
      <w:pPr>
        <w:pStyle w:val="Heading2"/>
      </w:pPr>
      <w:r>
        <w:t>10.6 Inbox</w:t>
      </w:r>
    </w:p>
    <w:p>
      <w:pPr>
        <w:pStyle w:val="ListBullet"/>
      </w:pPr>
      <w:r>
        <w:t>Conversation list left; active thread right on desktop.</w:t>
      </w:r>
    </w:p>
    <w:p>
      <w:pPr>
        <w:pStyle w:val="ListBullet"/>
      </w:pPr>
      <w:r>
        <w:t>Filters: Needs attention, Recruiters, Clients, Applications, Closed.</w:t>
      </w:r>
    </w:p>
    <w:p>
      <w:pPr>
        <w:pStyle w:val="ListBullet"/>
      </w:pPr>
      <w:r>
        <w:t>Thread header includes linked opportunity and current status.</w:t>
      </w:r>
    </w:p>
    <w:p>
      <w:pPr>
        <w:pStyle w:val="ListBullet"/>
      </w:pPr>
      <w:r>
        <w:t>AI may summarize long threads above messages.</w:t>
      </w:r>
    </w:p>
    <w:p>
      <w:pPr>
        <w:pStyle w:val="ListBullet"/>
      </w:pPr>
      <w:r>
        <w:t>Suggested reply appears as a draft area, clearly distinguished from sent content.</w:t>
      </w:r>
    </w:p>
    <w:p>
      <w:pPr>
        <w:pStyle w:val="ListBullet"/>
      </w:pPr>
      <w:r>
        <w:t>Pricing, negotiation, contracts and sensitive commitments visibly require approval.</w:t>
      </w:r>
    </w:p>
    <w:p>
      <w:pPr>
        <w:pStyle w:val="Heading2"/>
      </w:pPr>
      <w:r>
        <w:t>10.7 Activity</w:t>
      </w:r>
    </w:p>
    <w:p>
      <w:pPr>
        <w:pStyle w:val="ListBullet"/>
      </w:pPr>
      <w:r>
        <w:t>Chronological event stream, grouped Today / Yesterday / dates.</w:t>
      </w:r>
    </w:p>
    <w:p>
      <w:pPr>
        <w:pStyle w:val="ListBullet"/>
      </w:pPr>
      <w:r>
        <w:t>Filters by event type, opportunity and result.</w:t>
      </w:r>
    </w:p>
    <w:p>
      <w:pPr>
        <w:pStyle w:val="ListBullet"/>
      </w:pPr>
      <w:r>
        <w:t>Each event shows time, icon, human-readable action, entity and relevant metadata.</w:t>
      </w:r>
    </w:p>
    <w:p>
      <w:pPr>
        <w:pStyle w:val="ListBullet"/>
      </w:pPr>
      <w:r>
        <w:t>Expandable technical details may expose trace ID, provider and failure reason.</w:t>
      </w:r>
    </w:p>
    <w:p>
      <w:pPr>
        <w:pStyle w:val="ListBullet"/>
      </w:pPr>
      <w:r>
        <w:t>Do not present this as chat bubbles.</w:t>
      </w:r>
    </w:p>
    <w:p>
      <w:pPr>
        <w:pStyle w:val="Heading2"/>
      </w:pPr>
      <w:r>
        <w:t>10.8 CVs</w:t>
      </w:r>
    </w:p>
    <w:p>
      <w:pPr>
        <w:pStyle w:val="ListBullet"/>
      </w:pPr>
      <w:r>
        <w:t>Header with Upload CV.</w:t>
      </w:r>
    </w:p>
    <w:p>
      <w:pPr>
        <w:pStyle w:val="ListBullet"/>
      </w:pPr>
      <w:r>
        <w:t>CV cards/list: label, filename, version, extracted role focus, last used, default indicator.</w:t>
      </w:r>
    </w:p>
    <w:p>
      <w:pPr>
        <w:pStyle w:val="ListBullet"/>
      </w:pPr>
      <w:r>
        <w:t>Detail: verified extracted facts, skills, experience, education and usage history.</w:t>
      </w:r>
    </w:p>
    <w:p>
      <w:pPr>
        <w:pStyle w:val="ListBullet"/>
      </w:pPr>
      <w:r>
        <w:t>Actions: Set default, Rename label, Replace/new version, Delete.</w:t>
      </w:r>
    </w:p>
    <w:p>
      <w:pPr>
        <w:pStyle w:val="ListBullet"/>
      </w:pPr>
      <w:r>
        <w:t>Show which opportunities used each version.</w:t>
      </w:r>
    </w:p>
    <w:p>
      <w:pPr>
        <w:pStyle w:val="ListBullet"/>
      </w:pPr>
      <w:r>
        <w:t>Future external CV service appears as an integration, not a built-in fake editor.</w:t>
      </w:r>
    </w:p>
    <w:p>
      <w:pPr>
        <w:pStyle w:val="Heading2"/>
      </w:pPr>
      <w:r>
        <w:t>10.9 Profile</w:t>
      </w:r>
    </w:p>
    <w:p>
      <w:pPr>
        <w:pStyle w:val="ListBullet"/>
      </w:pPr>
      <w:r>
        <w:t>Professional summary.</w:t>
      </w:r>
    </w:p>
    <w:p>
      <w:pPr>
        <w:pStyle w:val="ListBullet"/>
      </w:pPr>
      <w:r>
        <w:t>Verified facts: experience, education, skills, links.</w:t>
      </w:r>
    </w:p>
    <w:p>
      <w:pPr>
        <w:pStyle w:val="ListBullet"/>
      </w:pPr>
      <w:r>
        <w:t>Target roles and opportunity preferences.</w:t>
      </w:r>
    </w:p>
    <w:p>
      <w:pPr>
        <w:pStyle w:val="ListBullet"/>
      </w:pPr>
      <w:r>
        <w:t>Compensation/work-mode/location constraints.</w:t>
      </w:r>
    </w:p>
    <w:p>
      <w:pPr>
        <w:pStyle w:val="ListBullet"/>
      </w:pPr>
      <w:r>
        <w:t>Separate 'Facts about me' from 'What I want' so matching logic stays understandable.</w:t>
      </w:r>
    </w:p>
    <w:p>
      <w:pPr>
        <w:pStyle w:val="Heading2"/>
      </w:pPr>
      <w:r>
        <w:t>10.10 Agent Rules</w:t>
      </w:r>
    </w:p>
    <w:p>
      <w:pPr>
        <w:pStyle w:val="ListBullet"/>
      </w:pPr>
      <w:r>
        <w:t>Top: autonomy mode — Observe only / Prepare / Controlled auto-execute.</w:t>
      </w:r>
    </w:p>
    <w:p>
      <w:pPr>
        <w:pStyle w:val="ListBullet"/>
      </w:pPr>
      <w:r>
        <w:t>Job rules: minimum match threshold, compensation, work type, location, experience tolerance.</w:t>
      </w:r>
    </w:p>
    <w:p>
      <w:pPr>
        <w:pStyle w:val="ListBullet"/>
      </w:pPr>
      <w:r>
        <w:t>Client outreach rules: daily cap, allowed business types, follow-up cadence.</w:t>
      </w:r>
    </w:p>
    <w:p>
      <w:pPr>
        <w:pStyle w:val="ListBullet"/>
      </w:pPr>
      <w:r>
        <w:t>Permission matrix: Find, Analyze, Select CV, Prepare, Send, Follow up.</w:t>
      </w:r>
    </w:p>
    <w:p>
      <w:pPr>
        <w:pStyle w:val="ListBullet"/>
      </w:pPr>
      <w:r>
        <w:t>'Always ask before' section for salary negotiation, interview commitments, identity documents, contracts and unusual questions.</w:t>
      </w:r>
    </w:p>
    <w:p>
      <w:pPr>
        <w:pStyle w:val="ListBullet"/>
      </w:pPr>
      <w:r>
        <w:t>Exclusions/do-not-contact.</w:t>
      </w:r>
    </w:p>
    <w:p>
      <w:pPr>
        <w:pStyle w:val="ListBullet"/>
      </w:pPr>
      <w:r>
        <w:t>Quiet hours and notification preferences if supported.</w:t>
      </w:r>
    </w:p>
    <w:p>
      <w:pPr>
        <w:pStyle w:val="ListBullet"/>
      </w:pPr>
      <w:r>
        <w:t>Preview panel: 'Under these rules Pursio would...' with examples.</w:t>
      </w:r>
    </w:p>
    <w:p>
      <w:pPr>
        <w:pStyle w:val="Heading2"/>
      </w:pPr>
      <w:r>
        <w:t>10.11 Integrations</w:t>
      </w:r>
    </w:p>
    <w:p>
      <w:pPr>
        <w:pStyle w:val="ListBullet"/>
      </w:pPr>
      <w:r>
        <w:t>Cards with provider logo/name, status, permissions summary, last sync and actions.</w:t>
      </w:r>
    </w:p>
    <w:p>
      <w:pPr>
        <w:pStyle w:val="ListBullet"/>
      </w:pPr>
      <w:r>
        <w:t>Gmail: Connected / reconnect required / disconnected.</w:t>
      </w:r>
    </w:p>
    <w:p>
      <w:pPr>
        <w:pStyle w:val="ListBullet"/>
      </w:pPr>
      <w:r>
        <w:t>Future Resume Provider: clear 'Coming later' only if intentionally shown; otherwise omit.</w:t>
      </w:r>
    </w:p>
    <w:p>
      <w:pPr>
        <w:pStyle w:val="ListBullet"/>
      </w:pPr>
      <w:r>
        <w:t>Never show an integration as connected unless the backend confirms it.</w:t>
      </w:r>
    </w:p>
    <w:p>
      <w:pPr>
        <w:pStyle w:val="Heading2"/>
      </w:pPr>
      <w:r>
        <w:t>10.12 Settings</w:t>
      </w:r>
    </w:p>
    <w:p>
      <w:pPr>
        <w:pStyle w:val="ListBullet"/>
      </w:pPr>
      <w:r>
        <w:t>Appearance, notifications, data retention/privacy, AI provider configuration if exposed, account/security.</w:t>
      </w:r>
    </w:p>
    <w:p>
      <w:pPr>
        <w:pStyle w:val="ListBullet"/>
      </w:pPr>
      <w:r>
        <w:t>Destructive account/data actions grouped in a Danger Zone.</w:t>
      </w:r>
    </w:p>
    <w:p>
      <w:pPr>
        <w:pStyle w:val="ListBullet"/>
      </w:pPr>
      <w:r>
        <w:t>Do not duplicate agent behavior settings here; Agent Rules owns them.</w:t>
      </w:r>
    </w:p>
    <w:p>
      <w:pPr>
        <w:pStyle w:val="Heading1"/>
      </w:pPr>
      <w:r>
        <w:t>11. Empty, Loading, Error &amp; Success States</w:t>
      </w:r>
    </w:p>
    <w:p>
      <w:pPr>
        <w:pStyle w:val="Heading2"/>
      </w:pPr>
      <w:r>
        <w:t>11.1 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Copy direction</w:t>
            </w:r>
          </w:p>
        </w:tc>
      </w:tr>
      <w:tr>
        <w:tc>
          <w:tcPr>
            <w:tcW w:type="dxa" w:w="5112"/>
            <w:vAlign w:val="top"/>
          </w:tcPr>
          <w:p>
            <w:r>
              <w:t>No opportunities</w:t>
            </w:r>
          </w:p>
        </w:tc>
        <w:tc>
          <w:tcPr>
            <w:tcW w:type="dxa" w:w="5112"/>
            <w:vAlign w:val="top"/>
          </w:tcPr>
          <w:p>
            <w:r>
              <w:t>'No opportunities yet. Pursio is watching your connected sources.' Show source status and last check.</w:t>
            </w:r>
          </w:p>
        </w:tc>
      </w:tr>
      <w:tr>
        <w:tc>
          <w:tcPr>
            <w:tcW w:type="dxa" w:w="5112"/>
            <w:vAlign w:val="top"/>
          </w:tcPr>
          <w:p>
            <w:r>
              <w:t>No replies</w:t>
            </w:r>
          </w:p>
        </w:tc>
        <w:tc>
          <w:tcPr>
            <w:tcW w:type="dxa" w:w="5112"/>
            <w:vAlign w:val="top"/>
          </w:tcPr>
          <w:p>
            <w:r>
              <w:t>'No replies need your attention.' Avoid making an empty state feel like failure.</w:t>
            </w:r>
          </w:p>
        </w:tc>
      </w:tr>
      <w:tr>
        <w:tc>
          <w:tcPr>
            <w:tcW w:type="dxa" w:w="5112"/>
            <w:vAlign w:val="top"/>
          </w:tcPr>
          <w:p>
            <w:r>
              <w:t>No CV</w:t>
            </w:r>
          </w:p>
        </w:tc>
        <w:tc>
          <w:tcPr>
            <w:tcW w:type="dxa" w:w="5112"/>
            <w:vAlign w:val="top"/>
          </w:tcPr>
          <w:p>
            <w:r>
              <w:t>Explain why a CV is needed and offer Upload CV.</w:t>
            </w:r>
          </w:p>
        </w:tc>
      </w:tr>
      <w:tr>
        <w:tc>
          <w:tcPr>
            <w:tcW w:type="dxa" w:w="5112"/>
            <w:vAlign w:val="top"/>
          </w:tcPr>
          <w:p>
            <w:r>
              <w:t>No Gmail</w:t>
            </w:r>
          </w:p>
        </w:tc>
        <w:tc>
          <w:tcPr>
            <w:tcW w:type="dxa" w:w="5112"/>
            <w:vAlign w:val="top"/>
          </w:tcPr>
          <w:p>
            <w:r>
              <w:t>Explain what connecting Gmail enables; CTA Connect Gmail.</w:t>
            </w:r>
          </w:p>
        </w:tc>
      </w:tr>
    </w:tbl>
    <w:p>
      <w:pPr>
        <w:pStyle w:val="Heading2"/>
      </w:pPr>
      <w:r>
        <w:t>11.2 Loading</w:t>
      </w:r>
    </w:p>
    <w:p>
      <w:pPr>
        <w:pStyle w:val="ListBullet"/>
      </w:pPr>
      <w:r>
        <w:t>Use skeletons for ordinary page/list loading.</w:t>
      </w:r>
    </w:p>
    <w:p>
      <w:pPr>
        <w:pStyle w:val="ListBullet"/>
      </w:pPr>
      <w:r>
        <w:t>Use explicit step progress for agent operations.</w:t>
      </w:r>
    </w:p>
    <w:p>
      <w:pPr>
        <w:pStyle w:val="ListBullet"/>
      </w:pPr>
      <w:r>
        <w:t>Never show fake progress percentages unless backend progress is measurable.</w:t>
      </w:r>
    </w:p>
    <w:p>
      <w:pPr>
        <w:pStyle w:val="ListBullet"/>
      </w:pPr>
      <w:r>
        <w:t>Preserve already-loaded content during background refresh.</w:t>
      </w:r>
    </w:p>
    <w:p>
      <w:pPr>
        <w:pStyle w:val="Heading2"/>
      </w:pPr>
      <w:r>
        <w:t>11.3 Errors</w:t>
      </w:r>
    </w:p>
    <w:p>
      <w:r>
        <w:t>Error pattern: human title → what happened → impact → recovery action → optional technical details. Example: 'Gmail connection expired. Pursio cannot monitor new opportunities until you reconnect. Existing opportunities are unaffected. [Reconnect Gmail]'.</w:t>
      </w:r>
    </w:p>
    <w:p>
      <w:pPr>
        <w:pStyle w:val="Heading2"/>
      </w:pPr>
      <w:r>
        <w:t>11.4 Success</w:t>
      </w:r>
    </w:p>
    <w:p>
      <w:r>
        <w:t>Use subtle confirmation. Do not interrupt the user with a modal for routine success. External actions such as sending an application should update the persistent opportunity/activity state immediately.</w:t>
      </w:r>
    </w:p>
    <w:p>
      <w:pPr>
        <w:pStyle w:val="Heading1"/>
      </w:pPr>
      <w:r>
        <w:t>12. Accessibility Contract</w:t>
      </w:r>
    </w:p>
    <w:p>
      <w:pPr>
        <w:pStyle w:val="ListBullet"/>
      </w:pPr>
      <w:r>
        <w:t>Target WCAG 2.2 AA.</w:t>
      </w:r>
    </w:p>
    <w:p>
      <w:pPr>
        <w:pStyle w:val="ListBullet"/>
      </w:pPr>
      <w:r>
        <w:t>Normal text contrast ≥4.5:1; meaningful non-text boundaries/status/focus ≥3:1 where applicable.</w:t>
      </w:r>
    </w:p>
    <w:p>
      <w:pPr>
        <w:pStyle w:val="ListBullet"/>
      </w:pPr>
      <w:r>
        <w:t>Full keyboard navigation for desktop workflows.</w:t>
      </w:r>
    </w:p>
    <w:p>
      <w:pPr>
        <w:pStyle w:val="ListBullet"/>
      </w:pPr>
      <w:r>
        <w:t>Visible focus state on every interactive element.</w:t>
      </w:r>
    </w:p>
    <w:p>
      <w:pPr>
        <w:pStyle w:val="ListBullet"/>
      </w:pPr>
      <w:r>
        <w:t>Icon-only controls have accessible names and tooltips where useful.</w:t>
      </w:r>
    </w:p>
    <w:p>
      <w:pPr>
        <w:pStyle w:val="ListBullet"/>
      </w:pPr>
      <w:r>
        <w:t>Inputs have programmatic labels; errors are associated with fields.</w:t>
      </w:r>
    </w:p>
    <w:p>
      <w:pPr>
        <w:pStyle w:val="ListBullet"/>
      </w:pPr>
      <w:r>
        <w:t>Tables use semantic headers.</w:t>
      </w:r>
    </w:p>
    <w:p>
      <w:pPr>
        <w:pStyle w:val="ListBullet"/>
      </w:pPr>
      <w:r>
        <w:t>Dynamic agent status and important asynchronous results use appropriate live-region announcements without becoming noisy.</w:t>
      </w:r>
    </w:p>
    <w:p>
      <w:pPr>
        <w:pStyle w:val="ListBullet"/>
      </w:pPr>
      <w:r>
        <w:t>Color never carries meaning alone.</w:t>
      </w:r>
    </w:p>
    <w:p>
      <w:pPr>
        <w:pStyle w:val="ListBullet"/>
      </w:pPr>
      <w:r>
        <w:t>Respect reduced motion.</w:t>
      </w:r>
    </w:p>
    <w:p>
      <w:pPr>
        <w:pStyle w:val="ListBullet"/>
      </w:pPr>
      <w:r>
        <w:t>Mobile touch targets should be approximately 44px or larger for primary interactions.</w:t>
      </w:r>
    </w:p>
    <w:p>
      <w:pPr>
        <w:pStyle w:val="ListBullet"/>
      </w:pPr>
      <w:r>
        <w:t>Use semantic HTML before ARIA; ARIA supplements rather than replaces native semantics.</w:t>
      </w:r>
    </w:p>
    <w:p>
      <w:pPr>
        <w:pStyle w:val="Heading1"/>
      </w:pPr>
      <w:r>
        <w:t>13. Responsive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Tablet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Mobile</w:t>
            </w:r>
          </w:p>
        </w:tc>
      </w:tr>
      <w:tr>
        <w:tc>
          <w:tcPr>
            <w:tcW w:type="dxa" w:w="3408"/>
            <w:vAlign w:val="top"/>
          </w:tcPr>
          <w:p>
            <w:r>
              <w:t>Sidebar fixed</w:t>
            </w:r>
          </w:p>
        </w:tc>
        <w:tc>
          <w:tcPr>
            <w:tcW w:type="dxa" w:w="3408"/>
            <w:vAlign w:val="top"/>
          </w:tcPr>
          <w:p>
            <w:r>
              <w:t>Sidebar overlay/collapsible</w:t>
            </w:r>
          </w:p>
        </w:tc>
        <w:tc>
          <w:tcPr>
            <w:tcW w:type="dxa" w:w="3408"/>
            <w:vAlign w:val="top"/>
          </w:tcPr>
          <w:p>
            <w:r>
              <w:t>Bottom nav</w:t>
            </w:r>
          </w:p>
        </w:tc>
      </w:tr>
      <w:tr>
        <w:tc>
          <w:tcPr>
            <w:tcW w:type="dxa" w:w="3408"/>
            <w:vAlign w:val="top"/>
          </w:tcPr>
          <w:p>
            <w:r>
              <w:t>Tables primary</w:t>
            </w:r>
          </w:p>
        </w:tc>
        <w:tc>
          <w:tcPr>
            <w:tcW w:type="dxa" w:w="3408"/>
            <w:vAlign w:val="top"/>
          </w:tcPr>
          <w:p>
            <w:r>
              <w:t>Tables simplified</w:t>
            </w:r>
          </w:p>
        </w:tc>
        <w:tc>
          <w:tcPr>
            <w:tcW w:type="dxa" w:w="3408"/>
            <w:vAlign w:val="top"/>
          </w:tcPr>
          <w:p>
            <w:r>
              <w:t>Stacked opportunity rows</w:t>
            </w:r>
          </w:p>
        </w:tc>
      </w:tr>
      <w:tr>
        <w:tc>
          <w:tcPr>
            <w:tcW w:type="dxa" w:w="3408"/>
            <w:vAlign w:val="top"/>
          </w:tcPr>
          <w:p>
            <w:r>
              <w:t>Detail drawer</w:t>
            </w:r>
          </w:p>
        </w:tc>
        <w:tc>
          <w:tcPr>
            <w:tcW w:type="dxa" w:w="3408"/>
            <w:vAlign w:val="top"/>
          </w:tcPr>
          <w:p>
            <w:r>
              <w:t>Overlay drawer</w:t>
            </w:r>
          </w:p>
        </w:tc>
        <w:tc>
          <w:tcPr>
            <w:tcW w:type="dxa" w:w="3408"/>
            <w:vAlign w:val="top"/>
          </w:tcPr>
          <w:p>
            <w:r>
              <w:t>Full-screen detail</w:t>
            </w:r>
          </w:p>
        </w:tc>
      </w:tr>
      <w:tr>
        <w:tc>
          <w:tcPr>
            <w:tcW w:type="dxa" w:w="3408"/>
            <w:vAlign w:val="top"/>
          </w:tcPr>
          <w:p>
            <w:r>
              <w:t>4 metric cards row</w:t>
            </w:r>
          </w:p>
        </w:tc>
        <w:tc>
          <w:tcPr>
            <w:tcW w:type="dxa" w:w="3408"/>
            <w:vAlign w:val="top"/>
          </w:tcPr>
          <w:p>
            <w:r>
              <w:t>2x2 grid</w:t>
            </w:r>
          </w:p>
        </w:tc>
        <w:tc>
          <w:tcPr>
            <w:tcW w:type="dxa" w:w="3408"/>
            <w:vAlign w:val="top"/>
          </w:tcPr>
          <w:p>
            <w:r>
              <w:t>2-column or horizontal compact grid</w:t>
            </w:r>
          </w:p>
        </w:tc>
      </w:tr>
      <w:tr>
        <w:tc>
          <w:tcPr>
            <w:tcW w:type="dxa" w:w="3408"/>
            <w:vAlign w:val="top"/>
          </w:tcPr>
          <w:p>
            <w:r>
              <w:t>Inbox split view</w:t>
            </w:r>
          </w:p>
        </w:tc>
        <w:tc>
          <w:tcPr>
            <w:tcW w:type="dxa" w:w="3408"/>
            <w:vAlign w:val="top"/>
          </w:tcPr>
          <w:p>
            <w:r>
              <w:t>Split if space permits</w:t>
            </w:r>
          </w:p>
        </w:tc>
        <w:tc>
          <w:tcPr>
            <w:tcW w:type="dxa" w:w="3408"/>
            <w:vAlign w:val="top"/>
          </w:tcPr>
          <w:p>
            <w:r>
              <w:t>Conversation list → full thread</w:t>
            </w:r>
          </w:p>
        </w:tc>
      </w:tr>
      <w:tr>
        <w:tc>
          <w:tcPr>
            <w:tcW w:type="dxa" w:w="3408"/>
            <w:vAlign w:val="top"/>
          </w:tcPr>
          <w:p>
            <w:r>
              <w:t>Agent rules multi-column</w:t>
            </w:r>
          </w:p>
        </w:tc>
        <w:tc>
          <w:tcPr>
            <w:tcW w:type="dxa" w:w="3408"/>
            <w:vAlign w:val="top"/>
          </w:tcPr>
          <w:p>
            <w:r>
              <w:t>Single/two column</w:t>
            </w:r>
          </w:p>
        </w:tc>
        <w:tc>
          <w:tcPr>
            <w:tcW w:type="dxa" w:w="3408"/>
            <w:vAlign w:val="top"/>
          </w:tcPr>
          <w:p>
            <w:r>
              <w:t>Single column; advanced sections collapsed</w:t>
            </w:r>
          </w:p>
        </w:tc>
      </w:tr>
    </w:tbl>
    <w:p>
      <w:r>
        <w:t>At no breakpoint should critical actions disappear without an alternative. Preserve state when moving between list and detail.</w:t>
      </w:r>
    </w:p>
    <w:p>
      <w:pPr>
        <w:pStyle w:val="Heading1"/>
      </w:pPr>
      <w:r>
        <w:t>14. Design Tokens for Implementation</w:t>
      </w:r>
    </w:p>
    <w:p>
      <w:pPr>
        <w:pStyle w:val="Heading2"/>
      </w:pPr>
      <w:r>
        <w:t>14.1 CSS token naming</w:t>
      </w:r>
    </w:p>
    <w:p>
      <w:r>
        <w:t>Use primitive tokens internally and semantic tokens in components. Components must not reference raw hex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r>
              <w:t>Color</w:t>
            </w:r>
          </w:p>
        </w:tc>
        <w:tc>
          <w:tcPr>
            <w:tcW w:type="dxa" w:w="5112"/>
            <w:vAlign w:val="top"/>
          </w:tcPr>
          <w:p>
            <w:r>
              <w:t>--color-bg-canvas, --color-bg-surface, --color-text-primary, --color-brand-default, --color-status-danger</w:t>
            </w:r>
          </w:p>
        </w:tc>
      </w:tr>
      <w:tr>
        <w:tc>
          <w:tcPr>
            <w:tcW w:type="dxa" w:w="5112"/>
            <w:vAlign w:val="top"/>
          </w:tcPr>
          <w:p>
            <w:r>
              <w:t>Spacing</w:t>
            </w:r>
          </w:p>
        </w:tc>
        <w:tc>
          <w:tcPr>
            <w:tcW w:type="dxa" w:w="5112"/>
            <w:vAlign w:val="top"/>
          </w:tcPr>
          <w:p>
            <w:r>
              <w:t>--space-1 ... --space-16</w:t>
            </w:r>
          </w:p>
        </w:tc>
      </w:tr>
      <w:tr>
        <w:tc>
          <w:tcPr>
            <w:tcW w:type="dxa" w:w="5112"/>
            <w:vAlign w:val="top"/>
          </w:tcPr>
          <w:p>
            <w:r>
              <w:t>Radius</w:t>
            </w:r>
          </w:p>
        </w:tc>
        <w:tc>
          <w:tcPr>
            <w:tcW w:type="dxa" w:w="5112"/>
            <w:vAlign w:val="top"/>
          </w:tcPr>
          <w:p>
            <w:r>
              <w:t>--radius-sm, --radius-md, --radius-lg, --radius-xl</w:t>
            </w:r>
          </w:p>
        </w:tc>
      </w:tr>
      <w:tr>
        <w:tc>
          <w:tcPr>
            <w:tcW w:type="dxa" w:w="5112"/>
            <w:vAlign w:val="top"/>
          </w:tcPr>
          <w:p>
            <w:r>
              <w:t>Typography</w:t>
            </w:r>
          </w:p>
        </w:tc>
        <w:tc>
          <w:tcPr>
            <w:tcW w:type="dxa" w:w="5112"/>
            <w:vAlign w:val="top"/>
          </w:tcPr>
          <w:p>
            <w:r>
              <w:t>--font-sans, --font-mono, --text-body, --text-small, --leading-body</w:t>
            </w:r>
          </w:p>
        </w:tc>
      </w:tr>
      <w:tr>
        <w:tc>
          <w:tcPr>
            <w:tcW w:type="dxa" w:w="5112"/>
            <w:vAlign w:val="top"/>
          </w:tcPr>
          <w:p>
            <w:r>
              <w:t>Size</w:t>
            </w:r>
          </w:p>
        </w:tc>
        <w:tc>
          <w:tcPr>
            <w:tcW w:type="dxa" w:w="5112"/>
            <w:vAlign w:val="top"/>
          </w:tcPr>
          <w:p>
            <w:r>
              <w:t>--sidebar-width, --topbar-height, --control-height</w:t>
            </w:r>
          </w:p>
        </w:tc>
      </w:tr>
      <w:tr>
        <w:tc>
          <w:tcPr>
            <w:tcW w:type="dxa" w:w="5112"/>
            <w:vAlign w:val="top"/>
          </w:tcPr>
          <w:p>
            <w:r>
              <w:t>Motion</w:t>
            </w:r>
          </w:p>
        </w:tc>
        <w:tc>
          <w:tcPr>
            <w:tcW w:type="dxa" w:w="5112"/>
            <w:vAlign w:val="top"/>
          </w:tcPr>
          <w:p>
            <w:r>
              <w:t>--duration-fast, --duration-normal, --ease-standard</w:t>
            </w:r>
          </w:p>
        </w:tc>
      </w:tr>
    </w:tbl>
    <w:p>
      <w:pPr>
        <w:pStyle w:val="Heading2"/>
      </w:pPr>
      <w:r>
        <w:t>14.2 Tailwind implementation</w:t>
      </w:r>
    </w:p>
    <w:p>
      <w:pPr>
        <w:pStyle w:val="ListBullet"/>
      </w:pPr>
      <w:r>
        <w:t>Map semantic tokens to Tailwind theme variables/utilities; avoid arbitrary color classes in feature code.</w:t>
      </w:r>
    </w:p>
    <w:p>
      <w:pPr>
        <w:pStyle w:val="ListBullet"/>
      </w:pPr>
      <w:r>
        <w:t>Create shared primitives/components before pages.</w:t>
      </w:r>
    </w:p>
    <w:p>
      <w:pPr>
        <w:pStyle w:val="ListBullet"/>
      </w:pPr>
      <w:r>
        <w:t>Dark mode changes semantic token values, not component class logic wherever possible.</w:t>
      </w:r>
    </w:p>
    <w:p>
      <w:pPr>
        <w:pStyle w:val="ListBullet"/>
      </w:pPr>
      <w:r>
        <w:t>Use class variance utilities or equivalent for component variants rather than copy-pasted class strings.</w:t>
      </w:r>
    </w:p>
    <w:p>
      <w:pPr>
        <w:pStyle w:val="Heading1"/>
      </w:pPr>
      <w:r>
        <w:t>15. Component State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states</w:t>
            </w:r>
          </w:p>
        </w:tc>
      </w:tr>
      <w:tr>
        <w:tc>
          <w:tcPr>
            <w:tcW w:type="dxa" w:w="5112"/>
            <w:vAlign w:val="top"/>
          </w:tcPr>
          <w:p>
            <w:r>
              <w:t>Button</w:t>
            </w:r>
          </w:p>
        </w:tc>
        <w:tc>
          <w:tcPr>
            <w:tcW w:type="dxa" w:w="5112"/>
            <w:vAlign w:val="top"/>
          </w:tcPr>
          <w:p>
            <w:r>
              <w:t>default, hover, focus-visible, active, disabled, loading</w:t>
            </w:r>
          </w:p>
        </w:tc>
      </w:tr>
      <w:tr>
        <w:tc>
          <w:tcPr>
            <w:tcW w:type="dxa" w:w="5112"/>
            <w:vAlign w:val="top"/>
          </w:tcPr>
          <w:p>
            <w:r>
              <w:t>Input</w:t>
            </w:r>
          </w:p>
        </w:tc>
        <w:tc>
          <w:tcPr>
            <w:tcW w:type="dxa" w:w="5112"/>
            <w:vAlign w:val="top"/>
          </w:tcPr>
          <w:p>
            <w:r>
              <w:t>default, hover, focus, filled, disabled, error</w:t>
            </w:r>
          </w:p>
        </w:tc>
      </w:tr>
      <w:tr>
        <w:tc>
          <w:tcPr>
            <w:tcW w:type="dxa" w:w="5112"/>
            <w:vAlign w:val="top"/>
          </w:tcPr>
          <w:p>
            <w:r>
              <w:t>Nav item</w:t>
            </w:r>
          </w:p>
        </w:tc>
        <w:tc>
          <w:tcPr>
            <w:tcW w:type="dxa" w:w="5112"/>
            <w:vAlign w:val="top"/>
          </w:tcPr>
          <w:p>
            <w:r>
              <w:t>default, hover, selected, focus, badge</w:t>
            </w:r>
          </w:p>
        </w:tc>
      </w:tr>
      <w:tr>
        <w:tc>
          <w:tcPr>
            <w:tcW w:type="dxa" w:w="5112"/>
            <w:vAlign w:val="top"/>
          </w:tcPr>
          <w:p>
            <w:r>
              <w:t>Opportunity row</w:t>
            </w:r>
          </w:p>
        </w:tc>
        <w:tc>
          <w:tcPr>
            <w:tcW w:type="dxa" w:w="5112"/>
            <w:vAlign w:val="top"/>
          </w:tcPr>
          <w:p>
            <w:r>
              <w:t>default, hover, selected/drawer-open, attention, keyboard focus</w:t>
            </w:r>
          </w:p>
        </w:tc>
      </w:tr>
      <w:tr>
        <w:tc>
          <w:tcPr>
            <w:tcW w:type="dxa" w:w="5112"/>
            <w:vAlign w:val="top"/>
          </w:tcPr>
          <w:p>
            <w:r>
              <w:t>Integration card</w:t>
            </w:r>
          </w:p>
        </w:tc>
        <w:tc>
          <w:tcPr>
            <w:tcW w:type="dxa" w:w="5112"/>
            <w:vAlign w:val="top"/>
          </w:tcPr>
          <w:p>
            <w:r>
              <w:t>connected, syncing, disconnected, error</w:t>
            </w:r>
          </w:p>
        </w:tc>
      </w:tr>
      <w:tr>
        <w:tc>
          <w:tcPr>
            <w:tcW w:type="dxa" w:w="5112"/>
            <w:vAlign w:val="top"/>
          </w:tcPr>
          <w:p>
            <w:r>
              <w:t>Agent status</w:t>
            </w:r>
          </w:p>
        </w:tc>
        <w:tc>
          <w:tcPr>
            <w:tcW w:type="dxa" w:w="5112"/>
            <w:vAlign w:val="top"/>
          </w:tcPr>
          <w:p>
            <w:r>
              <w:t>running, paused, processing, attention, error</w:t>
            </w:r>
          </w:p>
        </w:tc>
      </w:tr>
      <w:tr>
        <w:tc>
          <w:tcPr>
            <w:tcW w:type="dxa" w:w="5112"/>
            <w:vAlign w:val="top"/>
          </w:tcPr>
          <w:p>
            <w:r>
              <w:t>Action request</w:t>
            </w:r>
          </w:p>
        </w:tc>
        <w:tc>
          <w:tcPr>
            <w:tcW w:type="dxa" w:w="5112"/>
            <w:vAlign w:val="top"/>
          </w:tcPr>
          <w:p>
            <w:r>
              <w:t>pending, approved, rejected, expired, executing, failed</w:t>
            </w:r>
          </w:p>
        </w:tc>
      </w:tr>
      <w:tr>
        <w:tc>
          <w:tcPr>
            <w:tcW w:type="dxa" w:w="5112"/>
            <w:vAlign w:val="top"/>
          </w:tcPr>
          <w:p>
            <w:r>
              <w:t>CV</w:t>
            </w:r>
          </w:p>
        </w:tc>
        <w:tc>
          <w:tcPr>
            <w:tcW w:type="dxa" w:w="5112"/>
            <w:vAlign w:val="top"/>
          </w:tcPr>
          <w:p>
            <w:r>
              <w:t>default, selected/default, processing, parsing error</w:t>
            </w:r>
          </w:p>
        </w:tc>
      </w:tr>
      <w:tr>
        <w:tc>
          <w:tcPr>
            <w:tcW w:type="dxa" w:w="5112"/>
            <w:vAlign w:val="top"/>
          </w:tcPr>
          <w:p>
            <w:r>
              <w:t>Toast</w:t>
            </w:r>
          </w:p>
        </w:tc>
        <w:tc>
          <w:tcPr>
            <w:tcW w:type="dxa" w:w="5112"/>
            <w:vAlign w:val="top"/>
          </w:tcPr>
          <w:p>
            <w:r>
              <w:t>success, info, warning, error</w:t>
            </w:r>
          </w:p>
        </w:tc>
      </w:tr>
      <w:tr>
        <w:tc>
          <w:tcPr>
            <w:tcW w:type="dxa" w:w="5112"/>
            <w:vAlign w:val="top"/>
          </w:tcPr>
          <w:p>
            <w:r>
              <w:t>Skeleton</w:t>
            </w:r>
          </w:p>
        </w:tc>
        <w:tc>
          <w:tcPr>
            <w:tcW w:type="dxa" w:w="5112"/>
            <w:vAlign w:val="top"/>
          </w:tcPr>
          <w:p>
            <w:r>
              <w:t>loading only; no fake content</w:t>
            </w:r>
          </w:p>
        </w:tc>
      </w:tr>
    </w:tbl>
    <w:p>
      <w:pPr>
        <w:pStyle w:val="Heading1"/>
      </w:pPr>
      <w:r>
        <w:t>16. Microcopy Rules</w:t>
      </w:r>
    </w:p>
    <w:p>
      <w:pPr>
        <w:pStyle w:val="ListBullet"/>
      </w:pPr>
      <w:r>
        <w:t>Use direct verbs: Review application, Approve &amp; send, Pause Pursio, Reconnect Gmail.</w:t>
      </w:r>
    </w:p>
    <w:p>
      <w:pPr>
        <w:pStyle w:val="ListBullet"/>
      </w:pPr>
      <w:r>
        <w:t>Prefer human-readable causes over internal codes.</w:t>
      </w:r>
    </w:p>
    <w:p>
      <w:pPr>
        <w:pStyle w:val="ListBullet"/>
      </w:pPr>
      <w:r>
        <w:t>Never imply an action succeeded until backend confirmation exists.</w:t>
      </w:r>
    </w:p>
    <w:p>
      <w:pPr>
        <w:pStyle w:val="ListBullet"/>
      </w:pPr>
      <w:r>
        <w:t>Use 'Pursio' when describing agent actions; use 'you' for owner actions.</w:t>
      </w:r>
    </w:p>
    <w:p>
      <w:pPr>
        <w:pStyle w:val="ListBullet"/>
      </w:pPr>
      <w:r>
        <w:t>Distinguish Drafted, Approved, Sending and Sent.</w:t>
      </w:r>
    </w:p>
    <w:p>
      <w:pPr>
        <w:pStyle w:val="ListBullet"/>
      </w:pPr>
      <w:r>
        <w:t>Avoid hype such as 'magic', 'perfect match', 'guaranteed', or 'Pursio knows best'.</w:t>
      </w:r>
    </w:p>
    <w:p>
      <w:pPr>
        <w:pStyle w:val="ListBullet"/>
      </w:pPr>
      <w:r>
        <w:t>Match language: 'Strong match' rather than 'You should definitely apply'.</w:t>
      </w:r>
    </w:p>
    <w:p>
      <w:pPr>
        <w:pStyle w:val="ListBullet"/>
      </w:pPr>
      <w:r>
        <w:t>Failures should explain impact and recovery.</w:t>
      </w:r>
    </w:p>
    <w:p>
      <w:pPr>
        <w:pStyle w:val="Heading1"/>
      </w:pPr>
      <w:r>
        <w:t>17. Data Visualization Rules</w:t>
      </w:r>
    </w:p>
    <w:p>
      <w:pPr>
        <w:pStyle w:val="ListBullet"/>
      </w:pPr>
      <w:r>
        <w:t>Do not create charts until data answers a real question.</w:t>
      </w:r>
    </w:p>
    <w:p>
      <w:pPr>
        <w:pStyle w:val="ListBullet"/>
      </w:pPr>
      <w:r>
        <w:t>Preferred early visualization: simple weekly funnel — Discovered → Qualified → Applied/Contacted → Replies → Interviews/Interested → Won/Offer.</w:t>
      </w:r>
    </w:p>
    <w:p>
      <w:pPr>
        <w:pStyle w:val="ListBullet"/>
      </w:pPr>
      <w:r>
        <w:t>Use direct labels rather than legends when possible.</w:t>
      </w:r>
    </w:p>
    <w:p>
      <w:pPr>
        <w:pStyle w:val="ListBullet"/>
      </w:pPr>
      <w:r>
        <w:t>Never use 3D charts.</w:t>
      </w:r>
    </w:p>
    <w:p>
      <w:pPr>
        <w:pStyle w:val="ListBullet"/>
      </w:pPr>
      <w:r>
        <w:t>Do not use pie/donut charts for decorative dashboard filler.</w:t>
      </w:r>
    </w:p>
    <w:p>
      <w:pPr>
        <w:pStyle w:val="ListBullet"/>
      </w:pPr>
      <w:r>
        <w:t>Show zero/insufficient-data states honestly.</w:t>
      </w:r>
    </w:p>
    <w:p>
      <w:pPr>
        <w:pStyle w:val="Heading1"/>
      </w:pPr>
      <w:r>
        <w:t>18. Figma / Design-System Structure</w:t>
      </w:r>
    </w:p>
    <w:p>
      <w:pPr>
        <w:pStyle w:val="Heading2"/>
      </w:pPr>
      <w:r>
        <w:t>18.1 Recommended pages</w:t>
      </w:r>
    </w:p>
    <w:p>
      <w:pPr>
        <w:pStyle w:val="ListBullet"/>
      </w:pPr>
      <w:r>
        <w:t>00 — Cover &amp; principles</w:t>
      </w:r>
    </w:p>
    <w:p>
      <w:pPr>
        <w:pStyle w:val="ListBullet"/>
      </w:pPr>
      <w:r>
        <w:t>01 — Foundations</w:t>
      </w:r>
    </w:p>
    <w:p>
      <w:pPr>
        <w:pStyle w:val="ListBullet"/>
      </w:pPr>
      <w:r>
        <w:t>02 — Tokens / Variables</w:t>
      </w:r>
    </w:p>
    <w:p>
      <w:pPr>
        <w:pStyle w:val="ListBullet"/>
      </w:pPr>
      <w:r>
        <w:t>03 — Components</w:t>
      </w:r>
    </w:p>
    <w:p>
      <w:pPr>
        <w:pStyle w:val="ListBullet"/>
      </w:pPr>
      <w:r>
        <w:t>04 — Patterns</w:t>
      </w:r>
    </w:p>
    <w:p>
      <w:pPr>
        <w:pStyle w:val="ListBullet"/>
      </w:pPr>
      <w:r>
        <w:t>05 — Desktop screens</w:t>
      </w:r>
    </w:p>
    <w:p>
      <w:pPr>
        <w:pStyle w:val="ListBullet"/>
      </w:pPr>
      <w:r>
        <w:t>06 — Mobile screens</w:t>
      </w:r>
    </w:p>
    <w:p>
      <w:pPr>
        <w:pStyle w:val="ListBullet"/>
      </w:pPr>
      <w:r>
        <w:t>07 — Prototype flows</w:t>
      </w:r>
    </w:p>
    <w:p>
      <w:pPr>
        <w:pStyle w:val="ListBullet"/>
      </w:pPr>
      <w:r>
        <w:t>08 — Accessibility / annotations</w:t>
      </w:r>
    </w:p>
    <w:p>
      <w:pPr>
        <w:pStyle w:val="ListBullet"/>
      </w:pPr>
      <w:r>
        <w:t>09 — Archive / explorations</w:t>
      </w:r>
    </w:p>
    <w:p>
      <w:pPr>
        <w:pStyle w:val="Heading2"/>
      </w:pPr>
      <w:r>
        <w:t>18.2 Variables</w:t>
      </w:r>
    </w:p>
    <w:p>
      <w:r>
        <w:t>Create Primitives and Semantic collections. Use Light/Dark modes in semantic tokens. Name by role, not appearance. Example: color/surface/primary rather than white; color/action/primary rather than indigo-600. Components should consume semantic variables.</w:t>
      </w:r>
    </w:p>
    <w:p>
      <w:pPr>
        <w:pStyle w:val="Heading2"/>
      </w:pPr>
      <w:r>
        <w:t>18.3 Component construction</w:t>
      </w:r>
    </w:p>
    <w:p>
      <w:pPr>
        <w:pStyle w:val="ListBullet"/>
      </w:pPr>
      <w:r>
        <w:t>Use Auto Layout for reusable components and page structures.</w:t>
      </w:r>
    </w:p>
    <w:p>
      <w:pPr>
        <w:pStyle w:val="ListBullet"/>
      </w:pPr>
      <w:r>
        <w:t>Use component properties/variants for state, size, icon presence and semantic intent.</w:t>
      </w:r>
    </w:p>
    <w:p>
      <w:pPr>
        <w:pStyle w:val="ListBullet"/>
      </w:pPr>
      <w:r>
        <w:t>Document intended use and prohibited use for complex components.</w:t>
      </w:r>
    </w:p>
    <w:p>
      <w:pPr>
        <w:pStyle w:val="ListBullet"/>
      </w:pPr>
      <w:r>
        <w:t>Match component names to code names where practical to improve agent/developer handoff.</w:t>
      </w:r>
    </w:p>
    <w:p>
      <w:pPr>
        <w:pStyle w:val="Heading1"/>
      </w:pPr>
      <w:r>
        <w:t>19. Coding Agent Instructions — Paste This With the PRD</w:t>
      </w:r>
    </w:p>
    <w:p>
      <w:r>
        <w:t>Treat this UI/UX specification as a design contract. Do not improvise a new visual language.</w:t>
      </w:r>
    </w:p>
    <w:p>
      <w:pPr>
        <w:pStyle w:val="ListNumber"/>
      </w:pPr>
      <w:r>
        <w:t>Build foundations/tokens first, then primitives, then composite components, then screens.</w:t>
      </w:r>
    </w:p>
    <w:p>
      <w:pPr>
        <w:pStyle w:val="ListNumber"/>
      </w:pPr>
      <w:r>
        <w:t>Use the exact semantic token architecture. Never scatter raw hex values through feature components.</w:t>
      </w:r>
    </w:p>
    <w:p>
      <w:pPr>
        <w:pStyle w:val="ListNumber"/>
      </w:pPr>
      <w:r>
        <w:t>Build light mode first; architecture must support dark mode through semantic tokens.</w:t>
      </w:r>
    </w:p>
    <w:p>
      <w:pPr>
        <w:pStyle w:val="ListNumber"/>
      </w:pPr>
      <w:r>
        <w:t>Implement accessibility states at component creation time, not as cleanup.</w:t>
      </w:r>
    </w:p>
    <w:p>
      <w:pPr>
        <w:pStyle w:val="ListNumber"/>
      </w:pPr>
      <w:r>
        <w:t>Use list/table as the default Opportunities view. Pipeline/Kanban is secondary.</w:t>
      </w:r>
    </w:p>
    <w:p>
      <w:pPr>
        <w:pStyle w:val="ListNumber"/>
      </w:pPr>
      <w:r>
        <w:t>Make Needs Your Attention the primary operational section on Overview.</w:t>
      </w:r>
    </w:p>
    <w:p>
      <w:pPr>
        <w:pStyle w:val="ListNumber"/>
      </w:pPr>
      <w:r>
        <w:t>Keep Pursio observable: agent status, action state, reason and timestamps must be visible.</w:t>
      </w:r>
    </w:p>
    <w:p>
      <w:pPr>
        <w:pStyle w:val="ListNumber"/>
      </w:pPr>
      <w:r>
        <w:t>Never turn Activity into chat UI.</w:t>
      </w:r>
    </w:p>
    <w:p>
      <w:pPr>
        <w:pStyle w:val="ListNumber"/>
      </w:pPr>
      <w:r>
        <w:t>Do not add decorative gradients, glassmorphism, neon glows, random charts or oversized rounded cards.</w:t>
      </w:r>
    </w:p>
    <w:p>
      <w:pPr>
        <w:pStyle w:val="ListNumber"/>
      </w:pPr>
      <w:r>
        <w:t>Use Lucide consistently.</w:t>
      </w:r>
    </w:p>
    <w:p>
      <w:pPr>
        <w:pStyle w:val="ListNumber"/>
      </w:pPr>
      <w:r>
        <w:t>Use the specified spacing/radius/type scales.</w:t>
      </w:r>
    </w:p>
    <w:p>
      <w:pPr>
        <w:pStyle w:val="ListNumber"/>
      </w:pPr>
      <w:r>
        <w:t>Create all component states before wiring live data.</w:t>
      </w:r>
    </w:p>
    <w:p>
      <w:pPr>
        <w:pStyle w:val="ListNumber"/>
      </w:pPr>
      <w:r>
        <w:t>Use realistic placeholder content during UI implementation; avoid lorem ipsum.</w:t>
      </w:r>
    </w:p>
    <w:p>
      <w:pPr>
        <w:pStyle w:val="ListNumber"/>
      </w:pPr>
      <w:r>
        <w:t>Do not invent product features. If a screen needs missing behavior, leave a clearly marked TODO tied to the PRD/FRD.</w:t>
      </w:r>
    </w:p>
    <w:p>
      <w:pPr>
        <w:pStyle w:val="ListNumber"/>
      </w:pPr>
      <w:r>
        <w:t>Desktop must be polished at 1440px and functional down to 1024px. Mobile must be polished around 390px.</w:t>
      </w:r>
    </w:p>
    <w:p>
      <w:pPr>
        <w:pStyle w:val="ListNumber"/>
      </w:pPr>
      <w:r>
        <w:t>Test keyboard navigation, focus states, overflow, empty/loading/error states and long text before declaring a screen complete.</w:t>
      </w:r>
    </w:p>
    <w:p>
      <w:pPr>
        <w:pStyle w:val="Heading1"/>
      </w:pPr>
      <w:r>
        <w:t>20. Build Order</w:t>
      </w:r>
    </w:p>
    <w:p>
      <w:pPr>
        <w:pStyle w:val="ListNumber"/>
      </w:pPr>
      <w:r>
        <w:t>Design tokens + Tailwind/theme mapping.</w:t>
      </w:r>
    </w:p>
    <w:p>
      <w:pPr>
        <w:pStyle w:val="ListNumber"/>
      </w:pPr>
      <w:r>
        <w:t>App shell: sidebar, top bar, responsive mobile navigation.</w:t>
      </w:r>
    </w:p>
    <w:p>
      <w:pPr>
        <w:pStyle w:val="ListNumber"/>
      </w:pPr>
      <w:r>
        <w:t>Primitives: buttons, inputs, select, badges, tabs, tooltip, avatar, dropdown.</w:t>
      </w:r>
    </w:p>
    <w:p>
      <w:pPr>
        <w:pStyle w:val="ListNumber"/>
      </w:pPr>
      <w:r>
        <w:t>Core domain components: AgentStatus, MatchScore, OpportunityRow, ActivityEvent, AttentionCard, CVCard, IntegrationCard.</w:t>
      </w:r>
    </w:p>
    <w:p>
      <w:pPr>
        <w:pStyle w:val="ListNumber"/>
      </w:pPr>
      <w:r>
        <w:t>Overview.</w:t>
      </w:r>
    </w:p>
    <w:p>
      <w:pPr>
        <w:pStyle w:val="ListNumber"/>
      </w:pPr>
      <w:r>
        <w:t>Opportunities list + filters + detail drawer.</w:t>
      </w:r>
    </w:p>
    <w:p>
      <w:pPr>
        <w:pStyle w:val="ListNumber"/>
      </w:pPr>
      <w:r>
        <w:t>Opportunity full detail.</w:t>
      </w:r>
    </w:p>
    <w:p>
      <w:pPr>
        <w:pStyle w:val="ListNumber"/>
      </w:pPr>
      <w:r>
        <w:t>Inbox/conversation.</w:t>
      </w:r>
    </w:p>
    <w:p>
      <w:pPr>
        <w:pStyle w:val="ListNumber"/>
      </w:pPr>
      <w:r>
        <w:t>Activity.</w:t>
      </w:r>
    </w:p>
    <w:p>
      <w:pPr>
        <w:pStyle w:val="ListNumber"/>
      </w:pPr>
      <w:r>
        <w:t>CVs + Profile.</w:t>
      </w:r>
    </w:p>
    <w:p>
      <w:pPr>
        <w:pStyle w:val="ListNumber"/>
      </w:pPr>
      <w:r>
        <w:t>Agent Rules.</w:t>
      </w:r>
    </w:p>
    <w:p>
      <w:pPr>
        <w:pStyle w:val="ListNumber"/>
      </w:pPr>
      <w:r>
        <w:t>Integrations + Settings.</w:t>
      </w:r>
    </w:p>
    <w:p>
      <w:pPr>
        <w:pStyle w:val="ListNumber"/>
      </w:pPr>
      <w:r>
        <w:t>Onboarding.</w:t>
      </w:r>
    </w:p>
    <w:p>
      <w:pPr>
        <w:pStyle w:val="ListNumber"/>
      </w:pPr>
      <w:r>
        <w:t>Responsive/mobile pass.</w:t>
      </w:r>
    </w:p>
    <w:p>
      <w:pPr>
        <w:pStyle w:val="ListNumber"/>
      </w:pPr>
      <w:r>
        <w:t>Accessibility and state QA.</w:t>
      </w:r>
    </w:p>
    <w:p>
      <w:pPr>
        <w:pStyle w:val="ListNumber"/>
      </w:pPr>
      <w:r>
        <w:t>Dark theme only after light UI is stable.</w:t>
      </w:r>
    </w:p>
    <w:p>
      <w:pPr>
        <w:pStyle w:val="Heading1"/>
      </w:pPr>
      <w:r>
        <w:t>21. Definition of Design Done</w:t>
      </w:r>
    </w:p>
    <w:p>
      <w:pPr>
        <w:pStyle w:val="ListBullet"/>
      </w:pPr>
      <w:r>
        <w:t>No raw colors or arbitrary spacing in feature components.</w:t>
      </w:r>
    </w:p>
    <w:p>
      <w:pPr>
        <w:pStyle w:val="ListBullet"/>
      </w:pPr>
      <w:r>
        <w:t>All core components have hover/focus/disabled/loading/error states as applicable.</w:t>
      </w:r>
    </w:p>
    <w:p>
      <w:pPr>
        <w:pStyle w:val="ListBullet"/>
      </w:pPr>
      <w:r>
        <w:t>Every autonomous action can be understood from the UI.</w:t>
      </w:r>
    </w:p>
    <w:p>
      <w:pPr>
        <w:pStyle w:val="ListBullet"/>
      </w:pPr>
      <w:r>
        <w:t>Every high-risk action exposes human approval.</w:t>
      </w:r>
    </w:p>
    <w:p>
      <w:pPr>
        <w:pStyle w:val="ListBullet"/>
      </w:pPr>
      <w:r>
        <w:t>Global pause is reachable and obvious.</w:t>
      </w:r>
    </w:p>
    <w:p>
      <w:pPr>
        <w:pStyle w:val="ListBullet"/>
      </w:pPr>
      <w:r>
        <w:t>Empty/loading/error/success states exist for every major data surface.</w:t>
      </w:r>
    </w:p>
    <w:p>
      <w:pPr>
        <w:pStyle w:val="ListBullet"/>
      </w:pPr>
      <w:r>
        <w:t>Opportunities remain scannable with 100+ records.</w:t>
      </w:r>
    </w:p>
    <w:p>
      <w:pPr>
        <w:pStyle w:val="ListBullet"/>
      </w:pPr>
      <w:r>
        <w:t>Long company names, titles, emails and descriptions do not break layout.</w:t>
      </w:r>
    </w:p>
    <w:p>
      <w:pPr>
        <w:pStyle w:val="ListBullet"/>
      </w:pPr>
      <w:r>
        <w:t>Keyboard-only navigation can complete core review/approval flows.</w:t>
      </w:r>
    </w:p>
    <w:p>
      <w:pPr>
        <w:pStyle w:val="ListBullet"/>
      </w:pPr>
      <w:r>
        <w:t>Mobile can review, approve, reply and pause the agent.</w:t>
      </w:r>
    </w:p>
    <w:p>
      <w:pPr>
        <w:pStyle w:val="ListBullet"/>
      </w:pPr>
      <w:r>
        <w:t>UI contains no fake functionality or misleading status.</w:t>
      </w:r>
    </w:p>
    <w:p>
      <w:pPr>
        <w:pStyle w:val="ListBullet"/>
      </w:pPr>
      <w:r>
        <w:t>Design matches the product personality: calm, intelligent, precise, autonomous, trustworthy.</w:t>
      </w:r>
    </w:p>
    <w:p>
      <w:pPr>
        <w:pStyle w:val="Heading1"/>
      </w:pPr>
      <w:r>
        <w:t>22. Research Basis</w:t>
      </w:r>
    </w:p>
    <w:p>
      <w:r>
        <w:t>The specification follows established usability principles around visibility of system status, user control, consistency, error prevention, recognition over recall and minimalist presentation. The token architecture follows current Figma guidance: primitives → semantic tokens → optional component tokens, with variables/modes supporting consistent theming and design-to-code handoff.</w:t>
      </w:r>
    </w:p>
    <w:p>
      <w:r>
        <w:t>Sources reviewed: Figma Design Tokens / Variables guidance; Figma AI design-system guidance; Nielsen Norman Group usability heuristics and user-control guidance; accessibility-oriented design-system conventions. Web references should be treated as rationale, while this document is the implementation contract.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