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68" w:rsidRPr="00A24B68" w:rsidRDefault="00A24B68" w:rsidP="00504AD7">
      <w:pPr>
        <w:jc w:val="center"/>
        <w:rPr>
          <w:rFonts w:ascii="Arial" w:eastAsia="Times New Roman" w:hAnsi="Arial" w:cs="Arial"/>
          <w:color w:val="111111"/>
          <w:sz w:val="36"/>
          <w:szCs w:val="36"/>
          <w:u w:val="single"/>
        </w:rPr>
      </w:pPr>
      <w:r w:rsidRPr="00A24B68">
        <w:rPr>
          <w:rFonts w:ascii="Arial" w:eastAsia="Times New Roman" w:hAnsi="Arial" w:cs="Arial"/>
          <w:color w:val="111111"/>
          <w:sz w:val="36"/>
          <w:szCs w:val="36"/>
          <w:u w:val="single"/>
        </w:rPr>
        <w:t>Share Account Type</w:t>
      </w:r>
    </w:p>
    <w:p w:rsidR="00A24B68" w:rsidRPr="00943A36" w:rsidRDefault="00A24B68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>(Shares, Stocks, Equities, securities or financial equities) they all are a different terminologies for the same meaning “the Ownership”</w:t>
      </w:r>
    </w:p>
    <w:p w:rsidR="00A24B68" w:rsidRPr="00943A36" w:rsidRDefault="00A24B68" w:rsidP="00BE3D1F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At </w:t>
      </w:r>
      <w:r w:rsidR="00BE35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the end this product type means the CIF got 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ownership </w:t>
      </w:r>
      <w:r w:rsidR="00806164" w:rsidRPr="00943A36">
        <w:rPr>
          <w:rFonts w:ascii="Arial" w:eastAsia="Times New Roman" w:hAnsi="Arial" w:cs="Arial"/>
          <w:color w:val="111111"/>
          <w:sz w:val="24"/>
          <w:szCs w:val="24"/>
        </w:rPr>
        <w:t>of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504AD7" w:rsidRPr="00943A36">
        <w:rPr>
          <w:rFonts w:ascii="Arial" w:eastAsia="Times New Roman" w:hAnsi="Arial" w:cs="Arial"/>
          <w:color w:val="111111"/>
          <w:sz w:val="24"/>
          <w:szCs w:val="24"/>
        </w:rPr>
        <w:t>something that</w:t>
      </w:r>
      <w:r w:rsidR="007C392C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is financially perspective</w:t>
      </w:r>
      <w:r w:rsidR="00806164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BE3D1F"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is from Asset Nature </w:t>
      </w:r>
    </w:p>
    <w:p w:rsidR="00F809D3" w:rsidRDefault="005C1367" w:rsidP="00F809D3">
      <w:pPr>
        <w:rPr>
          <w:rFonts w:ascii="Arial" w:eastAsia="Times New Roman" w:hAnsi="Arial" w:cs="Arial"/>
          <w:color w:val="111111"/>
          <w:sz w:val="24"/>
          <w:szCs w:val="24"/>
        </w:rPr>
      </w:pP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The main aspect of this account is to maintain the average cost of the Share, which is get affected while </w:t>
      </w:r>
      <w:r w:rsidR="004E7555" w:rsidRPr="00943A36">
        <w:rPr>
          <w:rFonts w:ascii="Arial" w:eastAsia="Times New Roman" w:hAnsi="Arial" w:cs="Arial"/>
          <w:color w:val="111111"/>
          <w:sz w:val="24"/>
          <w:szCs w:val="24"/>
        </w:rPr>
        <w:t>executing</w:t>
      </w:r>
      <w:r w:rsidRPr="00943A36">
        <w:rPr>
          <w:rFonts w:ascii="Arial" w:eastAsia="Times New Roman" w:hAnsi="Arial" w:cs="Arial"/>
          <w:color w:val="111111"/>
          <w:sz w:val="24"/>
          <w:szCs w:val="24"/>
        </w:rPr>
        <w:t xml:space="preserve"> the purchase transaction</w:t>
      </w:r>
      <w:r w:rsidR="00D82A04" w:rsidRPr="00943A36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DE2F02" w:rsidRDefault="00DE2F02" w:rsidP="00DE2F02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The main identifier for this account is the (name of the account coupled with the CIF)</w:t>
      </w:r>
    </w:p>
    <w:p w:rsidR="00AC101B" w:rsidRPr="00943A36" w:rsidRDefault="00AC101B" w:rsidP="00FF21BA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The main method for calculating the cost is based on the average 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>cost,</w:t>
      </w:r>
      <w:r w:rsidR="00F72684">
        <w:rPr>
          <w:rFonts w:ascii="Arial" w:eastAsia="Times New Roman" w:hAnsi="Arial" w:cs="Arial"/>
          <w:color w:val="111111"/>
          <w:sz w:val="24"/>
          <w:szCs w:val="24"/>
        </w:rPr>
        <w:t xml:space="preserve"> which is simpl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>y</w:t>
      </w:r>
      <w:r w:rsidR="00F72684">
        <w:rPr>
          <w:rFonts w:ascii="Arial" w:eastAsia="Times New Roman" w:hAnsi="Arial" w:cs="Arial"/>
          <w:color w:val="111111"/>
          <w:sz w:val="24"/>
          <w:szCs w:val="24"/>
        </w:rPr>
        <w:t xml:space="preserve"> as</w:t>
      </w:r>
      <w:r w:rsidR="00246575">
        <w:rPr>
          <w:rFonts w:ascii="Arial" w:eastAsia="Times New Roman" w:hAnsi="Arial" w:cs="Arial"/>
          <w:color w:val="111111"/>
          <w:sz w:val="24"/>
          <w:szCs w:val="24"/>
        </w:rPr>
        <w:t xml:space="preserve"> taking the new price plus the old cost and divide them by the whole </w:t>
      </w:r>
      <w:r w:rsidR="00364278">
        <w:rPr>
          <w:rFonts w:ascii="Arial" w:eastAsia="Times New Roman" w:hAnsi="Arial" w:cs="Arial"/>
          <w:color w:val="111111"/>
          <w:sz w:val="24"/>
          <w:szCs w:val="24"/>
        </w:rPr>
        <w:t>n</w:t>
      </w:r>
      <w:r w:rsidR="00FF21BA">
        <w:rPr>
          <w:rFonts w:ascii="Arial" w:eastAsia="Times New Roman" w:hAnsi="Arial" w:cs="Arial"/>
          <w:color w:val="111111"/>
          <w:sz w:val="24"/>
          <w:szCs w:val="24"/>
        </w:rPr>
        <w:t xml:space="preserve">umber of units, however the combined sheet represents the different scenarios for this Account. </w:t>
      </w:r>
    </w:p>
    <w:p w:rsidR="00B1489D" w:rsidRDefault="00343DA1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The below fields will be kept </w:t>
      </w:r>
      <w:r w:rsidR="008C5892">
        <w:rPr>
          <w:rFonts w:ascii="Arial" w:eastAsia="Times New Roman" w:hAnsi="Arial" w:cs="Arial"/>
          <w:color w:val="111111"/>
          <w:sz w:val="24"/>
          <w:szCs w:val="24"/>
        </w:rPr>
        <w:t xml:space="preserve">by the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934"/>
        <w:gridCol w:w="5800"/>
      </w:tblGrid>
      <w:tr w:rsidR="00A54865" w:rsidTr="00A54865">
        <w:tc>
          <w:tcPr>
            <w:tcW w:w="1896" w:type="dxa"/>
          </w:tcPr>
          <w:p w:rsidR="00A54865" w:rsidRPr="00103592" w:rsidRDefault="00A54865" w:rsidP="00103592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 w:rsidRPr="001035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>Field</w:t>
            </w:r>
          </w:p>
        </w:tc>
        <w:tc>
          <w:tcPr>
            <w:tcW w:w="934" w:type="dxa"/>
          </w:tcPr>
          <w:p w:rsidR="00A54865" w:rsidRPr="00103592" w:rsidRDefault="00A54865" w:rsidP="00103592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>Level</w:t>
            </w:r>
          </w:p>
        </w:tc>
        <w:tc>
          <w:tcPr>
            <w:tcW w:w="5800" w:type="dxa"/>
          </w:tcPr>
          <w:p w:rsidR="00A54865" w:rsidRPr="00103592" w:rsidRDefault="00A54865" w:rsidP="00103592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 w:rsidRPr="001035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>Description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Serial</w:t>
            </w:r>
          </w:p>
        </w:tc>
        <w:tc>
          <w:tcPr>
            <w:tcW w:w="934" w:type="dxa"/>
          </w:tcPr>
          <w:p w:rsidR="00A54865" w:rsidRPr="00566361" w:rsidRDefault="00A5486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Auto Generated by the system, to indicates the order of entry as it affects the calculations  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 DATE</w:t>
            </w:r>
          </w:p>
        </w:tc>
        <w:tc>
          <w:tcPr>
            <w:tcW w:w="934" w:type="dxa"/>
          </w:tcPr>
          <w:p w:rsidR="00A54865" w:rsidRPr="00566361" w:rsidRDefault="00A5486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Transaction date , the date of the transaction occurred, could be in the Past , today or even in Future (no Restriction at all) 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A54865" w:rsidP="00A5486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SETTLMENT DATE</w:t>
            </w:r>
          </w:p>
        </w:tc>
        <w:tc>
          <w:tcPr>
            <w:tcW w:w="934" w:type="dxa"/>
          </w:tcPr>
          <w:p w:rsidR="00A54865" w:rsidRPr="00566361" w:rsidRDefault="00A5486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A54865" w:rsidP="00941319">
            <w:pPr>
              <w:rPr>
                <w:rFonts w:ascii="Arial" w:eastAsia="Times New Roman" w:hAnsi="Arial" w:cs="Arial"/>
                <w:color w:val="111111"/>
                <w:lang w:val="en-GB" w:bidi="ar-EG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Settlement </w:t>
            </w:r>
            <w:r w:rsidR="00941319" w:rsidRPr="00566361">
              <w:rPr>
                <w:rFonts w:ascii="Arial" w:eastAsia="Times New Roman" w:hAnsi="Arial" w:cs="Arial"/>
                <w:color w:val="111111"/>
              </w:rPr>
              <w:t xml:space="preserve">date, which is the date on, the settlement of the Trade will courses, for example the user may enter transaction on (25/01) and settle it on (27/01), thus the Share account will get effected on </w:t>
            </w:r>
            <w:r w:rsidR="00941319" w:rsidRPr="00566361">
              <w:rPr>
                <w:rFonts w:ascii="Arial" w:eastAsia="Times New Roman" w:hAnsi="Arial" w:cs="Arial"/>
                <w:color w:val="111111"/>
              </w:rPr>
              <w:t>(25/01)</w:t>
            </w:r>
            <w:r w:rsidR="00941319" w:rsidRPr="00566361">
              <w:rPr>
                <w:rFonts w:ascii="Arial" w:eastAsia="Times New Roman" w:hAnsi="Arial" w:cs="Arial"/>
                <w:color w:val="111111"/>
              </w:rPr>
              <w:t xml:space="preserve">, and later on </w:t>
            </w:r>
            <w:r w:rsidR="00941319" w:rsidRPr="00566361">
              <w:rPr>
                <w:rFonts w:ascii="Arial" w:eastAsia="Times New Roman" w:hAnsi="Arial" w:cs="Arial"/>
                <w:color w:val="111111"/>
              </w:rPr>
              <w:t>(27/01)</w:t>
            </w:r>
            <w:r w:rsidR="00941319" w:rsidRPr="00566361">
              <w:rPr>
                <w:rFonts w:ascii="Arial" w:eastAsia="Times New Roman" w:hAnsi="Arial" w:cs="Arial"/>
                <w:color w:val="111111"/>
              </w:rPr>
              <w:t xml:space="preserve"> the settlement with Cash </w:t>
            </w:r>
            <w:r w:rsidR="00EA0469" w:rsidRPr="00566361">
              <w:rPr>
                <w:rFonts w:ascii="Arial" w:eastAsia="Times New Roman" w:hAnsi="Arial" w:cs="Arial"/>
                <w:color w:val="111111"/>
              </w:rPr>
              <w:t>Asset Account will be effected</w:t>
            </w:r>
            <w:r w:rsidR="00A218AC" w:rsidRPr="00566361">
              <w:rPr>
                <w:rFonts w:ascii="Arial" w:eastAsia="Times New Roman" w:hAnsi="Arial" w:cs="Arial"/>
                <w:color w:val="111111"/>
                <w:lang w:val="en-GB"/>
              </w:rPr>
              <w:t>.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CB3A15" w:rsidP="00CB3A1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Open DATE</w:t>
            </w:r>
          </w:p>
        </w:tc>
        <w:tc>
          <w:tcPr>
            <w:tcW w:w="934" w:type="dxa"/>
          </w:tcPr>
          <w:p w:rsidR="00A5486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A5486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The Open Date of the Account , first date on which a transaction occurred  </w:t>
            </w:r>
          </w:p>
        </w:tc>
      </w:tr>
      <w:tr w:rsidR="00CB3A15" w:rsidTr="00A54865">
        <w:tc>
          <w:tcPr>
            <w:tcW w:w="1896" w:type="dxa"/>
          </w:tcPr>
          <w:p w:rsidR="00CB3A1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CIF_NO</w:t>
            </w:r>
          </w:p>
        </w:tc>
        <w:tc>
          <w:tcPr>
            <w:tcW w:w="934" w:type="dxa"/>
          </w:tcPr>
          <w:p w:rsidR="00CB3A1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CB3A1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Owner of the Account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Name</w:t>
            </w:r>
          </w:p>
        </w:tc>
        <w:tc>
          <w:tcPr>
            <w:tcW w:w="934" w:type="dxa"/>
          </w:tcPr>
          <w:p w:rsidR="00A54865" w:rsidRPr="00566361" w:rsidRDefault="00CB3A1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A54865" w:rsidRPr="00566361" w:rsidRDefault="00155B67" w:rsidP="00403BB4">
            <w:pPr>
              <w:rPr>
                <w:rFonts w:asciiTheme="majorHAnsi" w:eastAsiaTheme="majorEastAsia" w:hAnsiTheme="majorHAnsi" w:cstheme="majorBidi"/>
                <w:color w:val="2E74B5" w:themeColor="accent1" w:themeShade="BF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Name of the Account, which is the Stock name, a recommended name is the (Stock Symbol) if its </w:t>
            </w:r>
            <w:r w:rsidR="00403BB4" w:rsidRPr="00566361">
              <w:rPr>
                <w:rFonts w:ascii="Arial" w:eastAsia="Times New Roman" w:hAnsi="Arial" w:cs="Arial"/>
                <w:color w:val="111111"/>
              </w:rPr>
              <w:t>listed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, otherwise a unique name should be given 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9C0A57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TYPE</w:t>
            </w:r>
          </w:p>
        </w:tc>
        <w:tc>
          <w:tcPr>
            <w:tcW w:w="934" w:type="dxa"/>
          </w:tcPr>
          <w:p w:rsidR="00A54865" w:rsidRPr="00566361" w:rsidRDefault="009C0A57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9C0A57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Transaction Type which is either BUY or SELL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E9199E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Quantity </w:t>
            </w:r>
          </w:p>
        </w:tc>
        <w:tc>
          <w:tcPr>
            <w:tcW w:w="934" w:type="dxa"/>
          </w:tcPr>
          <w:p w:rsidR="00A54865" w:rsidRPr="00566361" w:rsidRDefault="00E9199E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E9199E" w:rsidP="00E9199E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Purchased Quantity or sold Quantity </w:t>
            </w:r>
          </w:p>
        </w:tc>
      </w:tr>
      <w:tr w:rsidR="00A54865" w:rsidTr="00A54865">
        <w:tc>
          <w:tcPr>
            <w:tcW w:w="1896" w:type="dxa"/>
          </w:tcPr>
          <w:p w:rsidR="00A54865" w:rsidRPr="00566361" w:rsidRDefault="00FC4FD0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Unit Price </w:t>
            </w:r>
          </w:p>
        </w:tc>
        <w:tc>
          <w:tcPr>
            <w:tcW w:w="934" w:type="dxa"/>
          </w:tcPr>
          <w:p w:rsidR="00A54865" w:rsidRPr="00566361" w:rsidRDefault="00FC4FD0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A54865" w:rsidRPr="00566361" w:rsidRDefault="00FC4FD0" w:rsidP="00FC4FD0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Unit Price used in the transaction, the price on which user purchased or sold</w:t>
            </w:r>
          </w:p>
        </w:tc>
      </w:tr>
      <w:tr w:rsidR="00E9199E" w:rsidTr="00A54865">
        <w:tc>
          <w:tcPr>
            <w:tcW w:w="1896" w:type="dxa"/>
          </w:tcPr>
          <w:p w:rsidR="00E9199E" w:rsidRPr="00566361" w:rsidRDefault="006C334F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TRN AMT</w:t>
            </w:r>
          </w:p>
        </w:tc>
        <w:tc>
          <w:tcPr>
            <w:tcW w:w="934" w:type="dxa"/>
          </w:tcPr>
          <w:p w:rsidR="00E9199E" w:rsidRPr="00566361" w:rsidRDefault="006C334F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6C334F" w:rsidRPr="00566361" w:rsidRDefault="006C334F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Calculated Price of the Transaction </w:t>
            </w:r>
          </w:p>
          <w:p w:rsidR="00E9199E" w:rsidRPr="00566361" w:rsidRDefault="006C334F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(</w:t>
            </w:r>
            <w:r w:rsidRPr="00566361">
              <w:rPr>
                <w:rFonts w:ascii="Arial" w:eastAsia="Times New Roman" w:hAnsi="Arial" w:cs="Arial"/>
                <w:color w:val="111111"/>
              </w:rPr>
              <w:t>Quantity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* </w:t>
            </w:r>
            <w:r w:rsidRPr="00566361">
              <w:rPr>
                <w:rFonts w:ascii="Arial" w:eastAsia="Times New Roman" w:hAnsi="Arial" w:cs="Arial"/>
                <w:color w:val="111111"/>
              </w:rPr>
              <w:t>Unit Price</w:t>
            </w:r>
            <w:r w:rsidRPr="00566361">
              <w:rPr>
                <w:rFonts w:ascii="Arial" w:eastAsia="Times New Roman" w:hAnsi="Arial" w:cs="Arial"/>
                <w:color w:val="111111"/>
              </w:rPr>
              <w:t>)</w:t>
            </w:r>
          </w:p>
        </w:tc>
      </w:tr>
      <w:tr w:rsidR="00E9199E" w:rsidTr="00A54865">
        <w:tc>
          <w:tcPr>
            <w:tcW w:w="1896" w:type="dxa"/>
          </w:tcPr>
          <w:p w:rsidR="00E9199E" w:rsidRPr="00566361" w:rsidRDefault="0083520E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ACT QTY</w:t>
            </w:r>
          </w:p>
        </w:tc>
        <w:tc>
          <w:tcPr>
            <w:tcW w:w="934" w:type="dxa"/>
          </w:tcPr>
          <w:p w:rsidR="00E9199E" w:rsidRPr="00566361" w:rsidRDefault="0083520E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510D75" w:rsidRPr="00566361" w:rsidRDefault="0083520E" w:rsidP="00510D7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The accumulative number of </w:t>
            </w:r>
            <w:r w:rsidRPr="00566361">
              <w:rPr>
                <w:rFonts w:ascii="Arial" w:eastAsia="Times New Roman" w:hAnsi="Arial" w:cs="Arial"/>
                <w:color w:val="111111"/>
              </w:rPr>
              <w:t>Quantity</w:t>
            </w:r>
            <w:r w:rsidR="003368B6" w:rsidRPr="00566361">
              <w:rPr>
                <w:rFonts w:ascii="Arial" w:eastAsia="Times New Roman" w:hAnsi="Arial" w:cs="Arial"/>
                <w:color w:val="111111"/>
              </w:rPr>
              <w:t xml:space="preserve">, simply </w:t>
            </w:r>
            <w:r w:rsidR="00510D75" w:rsidRPr="00566361">
              <w:rPr>
                <w:rFonts w:ascii="Arial" w:eastAsia="Times New Roman" w:hAnsi="Arial" w:cs="Arial"/>
                <w:color w:val="111111"/>
                <w:u w:val="single"/>
              </w:rPr>
              <w:t xml:space="preserve">calculated as following : </w:t>
            </w:r>
          </w:p>
          <w:p w:rsidR="00E9199E" w:rsidRPr="00566361" w:rsidRDefault="00510D75" w:rsidP="00510D75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(BUY)  :  new QTY = OLD QTY + </w:t>
            </w:r>
            <w:r w:rsidRPr="00566361">
              <w:rPr>
                <w:rFonts w:ascii="Arial" w:eastAsia="Times New Roman" w:hAnsi="Arial" w:cs="Arial"/>
                <w:color w:val="111111"/>
              </w:rPr>
              <w:t>Quantity</w:t>
            </w:r>
            <w:r w:rsidRPr="00566361">
              <w:rPr>
                <w:rFonts w:ascii="Arial" w:eastAsia="Times New Roman" w:hAnsi="Arial" w:cs="Arial"/>
                <w:color w:val="111111"/>
              </w:rPr>
              <w:br/>
            </w:r>
            <w:r w:rsidRPr="00566361">
              <w:rPr>
                <w:rFonts w:ascii="Arial" w:eastAsia="Times New Roman" w:hAnsi="Arial" w:cs="Arial"/>
                <w:color w:val="111111"/>
              </w:rPr>
              <w:t>(</w:t>
            </w:r>
            <w:r w:rsidRPr="00566361">
              <w:rPr>
                <w:rFonts w:ascii="Arial" w:eastAsia="Times New Roman" w:hAnsi="Arial" w:cs="Arial"/>
                <w:color w:val="111111"/>
              </w:rPr>
              <w:t>SELL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) :  new QTY = OLD QTY </w:t>
            </w:r>
            <w:r w:rsidR="00AE3639" w:rsidRPr="00566361">
              <w:rPr>
                <w:rFonts w:ascii="Arial" w:eastAsia="Times New Roman" w:hAnsi="Arial" w:cs="Arial"/>
                <w:color w:val="111111"/>
              </w:rPr>
              <w:t>–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Quantity</w:t>
            </w:r>
          </w:p>
        </w:tc>
      </w:tr>
      <w:tr w:rsidR="00E9199E" w:rsidTr="00A54865">
        <w:tc>
          <w:tcPr>
            <w:tcW w:w="1896" w:type="dxa"/>
          </w:tcPr>
          <w:p w:rsidR="00E9199E" w:rsidRPr="00566361" w:rsidRDefault="00504312" w:rsidP="00504312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lastRenderedPageBreak/>
              <w:t xml:space="preserve">ACT </w:t>
            </w:r>
            <w:r w:rsidRPr="00566361">
              <w:rPr>
                <w:rFonts w:ascii="Arial" w:eastAsia="Times New Roman" w:hAnsi="Arial" w:cs="Arial"/>
                <w:color w:val="111111"/>
              </w:rPr>
              <w:t>AMT</w:t>
            </w:r>
          </w:p>
        </w:tc>
        <w:tc>
          <w:tcPr>
            <w:tcW w:w="934" w:type="dxa"/>
          </w:tcPr>
          <w:p w:rsidR="00E9199E" w:rsidRPr="00566361" w:rsidRDefault="00504312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E9199E" w:rsidRPr="00566361" w:rsidRDefault="00504312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The Account Amount, by which it will be in the balance of the Account</w:t>
            </w:r>
          </w:p>
          <w:p w:rsidR="002D7C83" w:rsidRPr="00D05371" w:rsidRDefault="002D7C83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calculated as following :</w:t>
            </w:r>
          </w:p>
          <w:p w:rsidR="002D7C83" w:rsidRPr="00566361" w:rsidRDefault="00AE3639" w:rsidP="00AE3639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(BUY)  :  new </w:t>
            </w:r>
            <w:r w:rsidRPr="00566361">
              <w:rPr>
                <w:rFonts w:ascii="Arial" w:eastAsia="Times New Roman" w:hAnsi="Arial" w:cs="Arial"/>
                <w:color w:val="111111"/>
              </w:rPr>
              <w:t>AMT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= OLD </w:t>
            </w:r>
            <w:r w:rsidRPr="00566361">
              <w:rPr>
                <w:rFonts w:ascii="Arial" w:eastAsia="Times New Roman" w:hAnsi="Arial" w:cs="Arial"/>
                <w:color w:val="111111"/>
              </w:rPr>
              <w:t>AMT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+ </w:t>
            </w:r>
            <w:r w:rsidRPr="00566361">
              <w:rPr>
                <w:rFonts w:ascii="Arial" w:eastAsia="Times New Roman" w:hAnsi="Arial" w:cs="Arial"/>
                <w:color w:val="111111"/>
              </w:rPr>
              <w:t>TRAN AMT</w:t>
            </w:r>
          </w:p>
          <w:p w:rsidR="00AE3639" w:rsidRPr="00566361" w:rsidRDefault="00AE3639" w:rsidP="00AE3639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(SELL) :  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new </w:t>
            </w:r>
            <w:r w:rsidRPr="00566361">
              <w:rPr>
                <w:rFonts w:ascii="Arial" w:eastAsia="Times New Roman" w:hAnsi="Arial" w:cs="Arial"/>
                <w:color w:val="111111"/>
              </w:rPr>
              <w:t>AMT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= OLD </w:t>
            </w:r>
            <w:r w:rsidRPr="00566361">
              <w:rPr>
                <w:rFonts w:ascii="Arial" w:eastAsia="Times New Roman" w:hAnsi="Arial" w:cs="Arial"/>
                <w:color w:val="111111"/>
              </w:rPr>
              <w:t>AMT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</w:t>
            </w:r>
            <w:r w:rsidRPr="00566361">
              <w:rPr>
                <w:rFonts w:ascii="Arial" w:eastAsia="Times New Roman" w:hAnsi="Arial" w:cs="Arial"/>
                <w:color w:val="111111"/>
              </w:rPr>
              <w:t>–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</w:t>
            </w:r>
            <w:r w:rsidRPr="00566361">
              <w:rPr>
                <w:rFonts w:ascii="Arial" w:eastAsia="Times New Roman" w:hAnsi="Arial" w:cs="Arial"/>
                <w:color w:val="111111"/>
              </w:rPr>
              <w:t>(</w:t>
            </w:r>
            <w:r w:rsidRPr="00566361">
              <w:rPr>
                <w:rFonts w:ascii="Arial" w:eastAsia="Times New Roman" w:hAnsi="Arial" w:cs="Arial"/>
                <w:color w:val="111111"/>
              </w:rPr>
              <w:t>Quantity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* NEW AVG)</w:t>
            </w:r>
          </w:p>
        </w:tc>
      </w:tr>
      <w:tr w:rsidR="00E9199E" w:rsidTr="00A54865">
        <w:tc>
          <w:tcPr>
            <w:tcW w:w="1896" w:type="dxa"/>
          </w:tcPr>
          <w:p w:rsidR="00E9199E" w:rsidRPr="00566361" w:rsidRDefault="009060B9" w:rsidP="009060B9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AVG</w:t>
            </w:r>
          </w:p>
        </w:tc>
        <w:tc>
          <w:tcPr>
            <w:tcW w:w="934" w:type="dxa"/>
          </w:tcPr>
          <w:p w:rsidR="00E9199E" w:rsidRPr="00566361" w:rsidRDefault="009060B9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095401" w:rsidRPr="00566361" w:rsidRDefault="009060B9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The average cost of this cost, by which it will </w:t>
            </w:r>
            <w:r w:rsidR="00095401" w:rsidRPr="00566361">
              <w:rPr>
                <w:rFonts w:ascii="Arial" w:eastAsia="Times New Roman" w:hAnsi="Arial" w:cs="Arial"/>
                <w:color w:val="111111"/>
              </w:rPr>
              <w:t xml:space="preserve">evaluated while selling to compare Profit Or Loss, it get calculated only in Case of </w:t>
            </w:r>
            <w:r w:rsidR="008C78AB" w:rsidRPr="00566361">
              <w:rPr>
                <w:rFonts w:ascii="Arial" w:eastAsia="Times New Roman" w:hAnsi="Arial" w:cs="Arial"/>
                <w:color w:val="111111"/>
              </w:rPr>
              <w:t>BUY</w:t>
            </w:r>
          </w:p>
          <w:p w:rsidR="00CE7995" w:rsidRDefault="0029768E" w:rsidP="0029768E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(BUY)  :  </w:t>
            </w:r>
          </w:p>
          <w:p w:rsidR="00E9199E" w:rsidRPr="00566361" w:rsidRDefault="0029768E" w:rsidP="0029768E">
            <w:pPr>
              <w:rPr>
                <w:rFonts w:ascii="Arial" w:eastAsia="Times New Roman" w:hAnsi="Arial" w:cs="Arial"/>
                <w:color w:val="111111"/>
              </w:rPr>
            </w:pPr>
            <w:r w:rsidRPr="00566361">
              <w:rPr>
                <w:rFonts w:ascii="Arial" w:eastAsia="Times New Roman" w:hAnsi="Arial" w:cs="Arial"/>
                <w:color w:val="111111"/>
              </w:rPr>
              <w:t xml:space="preserve">new </w:t>
            </w:r>
            <w:r w:rsidRPr="00566361">
              <w:rPr>
                <w:rFonts w:ascii="Arial" w:eastAsia="Times New Roman" w:hAnsi="Arial" w:cs="Arial"/>
                <w:color w:val="111111"/>
              </w:rPr>
              <w:t>AVG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 = </w:t>
            </w:r>
            <w:r w:rsidRPr="00566361">
              <w:rPr>
                <w:rFonts w:ascii="Arial" w:eastAsia="Times New Roman" w:hAnsi="Arial" w:cs="Arial"/>
                <w:color w:val="111111"/>
              </w:rPr>
              <w:t>(</w:t>
            </w:r>
            <w:r w:rsidRPr="00566361">
              <w:rPr>
                <w:rFonts w:ascii="Arial" w:eastAsia="Times New Roman" w:hAnsi="Arial" w:cs="Arial"/>
                <w:color w:val="111111"/>
              </w:rPr>
              <w:t>OLD AMT + TRAN AMT</w:t>
            </w:r>
            <w:r w:rsidRPr="00566361">
              <w:rPr>
                <w:rFonts w:ascii="Arial" w:eastAsia="Times New Roman" w:hAnsi="Arial" w:cs="Arial"/>
                <w:color w:val="111111"/>
              </w:rPr>
              <w:t xml:space="preserve">) / NEW </w:t>
            </w:r>
            <w:r w:rsidRPr="00566361">
              <w:rPr>
                <w:rFonts w:ascii="Arial" w:eastAsia="Times New Roman" w:hAnsi="Arial" w:cs="Arial"/>
                <w:color w:val="111111"/>
              </w:rPr>
              <w:t>ACT QTY</w:t>
            </w:r>
          </w:p>
        </w:tc>
      </w:tr>
      <w:tr w:rsidR="00E9199E" w:rsidTr="00A54865">
        <w:tc>
          <w:tcPr>
            <w:tcW w:w="1896" w:type="dxa"/>
          </w:tcPr>
          <w:p w:rsidR="00E9199E" w:rsidRPr="00D05371" w:rsidRDefault="00CE799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TRAN P&amp;L</w:t>
            </w:r>
          </w:p>
        </w:tc>
        <w:tc>
          <w:tcPr>
            <w:tcW w:w="934" w:type="dxa"/>
          </w:tcPr>
          <w:p w:rsidR="00E9199E" w:rsidRPr="00D05371" w:rsidRDefault="00CE7995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TRAN</w:t>
            </w:r>
          </w:p>
        </w:tc>
        <w:tc>
          <w:tcPr>
            <w:tcW w:w="5800" w:type="dxa"/>
          </w:tcPr>
          <w:p w:rsidR="00E9199E" w:rsidRDefault="00CE7995" w:rsidP="00CE7995">
            <w:pPr>
              <w:rPr>
                <w:rFonts w:ascii="Arial" w:eastAsia="Times New Roman" w:hAnsi="Arial" w:cs="Arial"/>
                <w:color w:val="111111"/>
              </w:rPr>
            </w:pPr>
            <w:r w:rsidRPr="00CE7995">
              <w:rPr>
                <w:rFonts w:ascii="Arial" w:eastAsia="Times New Roman" w:hAnsi="Arial" w:cs="Arial"/>
                <w:color w:val="111111"/>
              </w:rPr>
              <w:t xml:space="preserve">In case only of SELL Transaction In case only of SELL </w:t>
            </w:r>
          </w:p>
          <w:p w:rsidR="00CE7995" w:rsidRPr="00CE7995" w:rsidRDefault="001C5A1F" w:rsidP="00CE7995">
            <w:pPr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P&amp;L = (</w:t>
            </w:r>
            <w:r w:rsidRPr="00566361">
              <w:rPr>
                <w:rFonts w:ascii="Arial" w:eastAsia="Times New Roman" w:hAnsi="Arial" w:cs="Arial"/>
                <w:color w:val="111111"/>
              </w:rPr>
              <w:t>Unit Price</w:t>
            </w:r>
            <w:r>
              <w:rPr>
                <w:rFonts w:ascii="Arial" w:eastAsia="Times New Roman" w:hAnsi="Arial" w:cs="Arial"/>
                <w:color w:val="111111"/>
              </w:rPr>
              <w:t xml:space="preserve"> – </w:t>
            </w:r>
            <w:r w:rsidRPr="00566361">
              <w:rPr>
                <w:rFonts w:ascii="Arial" w:eastAsia="Times New Roman" w:hAnsi="Arial" w:cs="Arial"/>
                <w:color w:val="111111"/>
              </w:rPr>
              <w:t>AVG</w:t>
            </w:r>
            <w:r>
              <w:rPr>
                <w:rFonts w:ascii="Arial" w:eastAsia="Times New Roman" w:hAnsi="Arial" w:cs="Arial"/>
                <w:color w:val="111111"/>
              </w:rPr>
              <w:t xml:space="preserve">) * </w:t>
            </w:r>
            <w:r w:rsidR="00D818DF" w:rsidRPr="00566361">
              <w:rPr>
                <w:rFonts w:ascii="Arial" w:eastAsia="Times New Roman" w:hAnsi="Arial" w:cs="Arial"/>
                <w:color w:val="111111"/>
              </w:rPr>
              <w:t>Quantity</w:t>
            </w:r>
          </w:p>
        </w:tc>
      </w:tr>
      <w:tr w:rsidR="00E9199E" w:rsidTr="00A54865">
        <w:tc>
          <w:tcPr>
            <w:tcW w:w="1896" w:type="dxa"/>
          </w:tcPr>
          <w:p w:rsidR="00E9199E" w:rsidRPr="00D05371" w:rsidRDefault="00D05371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ACT P&amp;L</w:t>
            </w:r>
          </w:p>
        </w:tc>
        <w:tc>
          <w:tcPr>
            <w:tcW w:w="934" w:type="dxa"/>
          </w:tcPr>
          <w:p w:rsidR="00E9199E" w:rsidRPr="00D05371" w:rsidRDefault="00D05371" w:rsidP="00A24B68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SYS</w:t>
            </w:r>
          </w:p>
        </w:tc>
        <w:tc>
          <w:tcPr>
            <w:tcW w:w="5800" w:type="dxa"/>
          </w:tcPr>
          <w:p w:rsidR="00E9199E" w:rsidRPr="00D05371" w:rsidRDefault="00D05371" w:rsidP="00A24B68">
            <w:pPr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The </w:t>
            </w:r>
            <w:r w:rsidRPr="00566361">
              <w:rPr>
                <w:rFonts w:ascii="Arial" w:eastAsia="Times New Roman" w:hAnsi="Arial" w:cs="Arial"/>
                <w:color w:val="111111"/>
              </w:rPr>
              <w:t>accumulative</w:t>
            </w:r>
            <w:r>
              <w:rPr>
                <w:rFonts w:ascii="Arial" w:eastAsia="Times New Roman" w:hAnsi="Arial" w:cs="Arial"/>
                <w:color w:val="111111"/>
              </w:rPr>
              <w:t xml:space="preserve"> of </w:t>
            </w:r>
            <w:r w:rsidRPr="00D05371">
              <w:rPr>
                <w:rFonts w:ascii="Arial" w:eastAsia="Times New Roman" w:hAnsi="Arial" w:cs="Arial"/>
                <w:color w:val="111111"/>
              </w:rPr>
              <w:t>TRAN P&amp;L</w:t>
            </w:r>
            <w:r w:rsidRPr="00D05371">
              <w:rPr>
                <w:rFonts w:ascii="Arial" w:eastAsia="Times New Roman" w:hAnsi="Arial" w:cs="Arial"/>
                <w:color w:val="111111"/>
              </w:rPr>
              <w:t xml:space="preserve">, which is calculated in case of SELL Only  </w:t>
            </w:r>
          </w:p>
        </w:tc>
      </w:tr>
    </w:tbl>
    <w:p w:rsidR="00274C32" w:rsidRDefault="00274C32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</w:p>
    <w:p w:rsidR="0039568A" w:rsidRDefault="0039568A" w:rsidP="0039568A">
      <w:pPr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The Required accounting structure is as </w:t>
      </w:r>
      <w:r>
        <w:rPr>
          <w:rFonts w:ascii="Arial" w:eastAsia="Times New Roman" w:hAnsi="Arial" w:cs="Arial"/>
          <w:color w:val="111111"/>
          <w:sz w:val="24"/>
          <w:szCs w:val="24"/>
        </w:rPr>
        <w:t>following: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896"/>
        <w:gridCol w:w="6746"/>
      </w:tblGrid>
      <w:tr w:rsidR="0039568A" w:rsidRPr="00103592" w:rsidTr="00206656">
        <w:tc>
          <w:tcPr>
            <w:tcW w:w="1896" w:type="dxa"/>
          </w:tcPr>
          <w:p w:rsidR="0039568A" w:rsidRPr="00103592" w:rsidRDefault="0039568A" w:rsidP="00A16889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 xml:space="preserve">Accounting Structure </w:t>
            </w:r>
          </w:p>
        </w:tc>
        <w:tc>
          <w:tcPr>
            <w:tcW w:w="6746" w:type="dxa"/>
          </w:tcPr>
          <w:p w:rsidR="0039568A" w:rsidRPr="00103592" w:rsidRDefault="0039568A" w:rsidP="00A16889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</w:pPr>
            <w:r w:rsidRPr="001035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u w:val="single"/>
              </w:rPr>
              <w:t>Description</w:t>
            </w:r>
          </w:p>
        </w:tc>
      </w:tr>
      <w:tr w:rsidR="0039568A" w:rsidTr="00206656">
        <w:tc>
          <w:tcPr>
            <w:tcW w:w="1896" w:type="dxa"/>
          </w:tcPr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BUY</w:t>
            </w:r>
          </w:p>
        </w:tc>
        <w:tc>
          <w:tcPr>
            <w:tcW w:w="6746" w:type="dxa"/>
          </w:tcPr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 xml:space="preserve">The Legs that will be executed on Buy Transaction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4"/>
              <w:gridCol w:w="4677"/>
            </w:tblGrid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Asset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The Asset GL for the Share Account , which below the Account will goes on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Cash Account 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Which will be affected on the Settlement Date 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WIP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Will be used in cases the Settlement Date is bigger than the TRAN Date</w:t>
                  </w:r>
                </w:p>
              </w:tc>
            </w:tr>
          </w:tbl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</w:p>
        </w:tc>
      </w:tr>
      <w:tr w:rsidR="0039568A" w:rsidTr="00206656">
        <w:tc>
          <w:tcPr>
            <w:tcW w:w="1896" w:type="dxa"/>
          </w:tcPr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>SELL</w:t>
            </w:r>
          </w:p>
        </w:tc>
        <w:tc>
          <w:tcPr>
            <w:tcW w:w="6746" w:type="dxa"/>
          </w:tcPr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  <w:r w:rsidRPr="00D05371">
              <w:rPr>
                <w:rFonts w:ascii="Arial" w:eastAsia="Times New Roman" w:hAnsi="Arial" w:cs="Arial"/>
                <w:color w:val="111111"/>
              </w:rPr>
              <w:t xml:space="preserve">The Legs that will be executed on SELL Transaction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4"/>
              <w:gridCol w:w="4677"/>
            </w:tblGrid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Asset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The Asset GL for the Share Account , which below the Account will goes on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Cash Account 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Which will be affected on the Settlement Date 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WIP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Will be used in cases the Settlement Date is bigger than the TRAN Date</w:t>
                  </w:r>
                </w:p>
              </w:tc>
            </w:tr>
            <w:tr w:rsidR="0039568A" w:rsidRPr="00D05371" w:rsidTr="00206656">
              <w:tc>
                <w:tcPr>
                  <w:tcW w:w="1814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>P &amp; L Account</w:t>
                  </w:r>
                </w:p>
              </w:tc>
              <w:tc>
                <w:tcPr>
                  <w:tcW w:w="4677" w:type="dxa"/>
                </w:tcPr>
                <w:p w:rsidR="0039568A" w:rsidRPr="00D05371" w:rsidRDefault="0039568A" w:rsidP="00A16889">
                  <w:pPr>
                    <w:rPr>
                      <w:rFonts w:ascii="Arial" w:eastAsia="Times New Roman" w:hAnsi="Arial" w:cs="Arial"/>
                      <w:color w:val="111111"/>
                    </w:rPr>
                  </w:pPr>
                  <w:r w:rsidRPr="00D05371">
                    <w:rPr>
                      <w:rFonts w:ascii="Arial" w:eastAsia="Times New Roman" w:hAnsi="Arial" w:cs="Arial"/>
                      <w:color w:val="111111"/>
                    </w:rPr>
                    <w:t xml:space="preserve">Will be user to book any Profit or Loss, in Case Profit a Credit Transaction will be executed, else a debit transaction </w:t>
                  </w:r>
                </w:p>
              </w:tc>
            </w:tr>
          </w:tbl>
          <w:p w:rsidR="0039568A" w:rsidRPr="00D05371" w:rsidRDefault="0039568A" w:rsidP="00A16889">
            <w:pPr>
              <w:rPr>
                <w:rFonts w:ascii="Arial" w:eastAsia="Times New Roman" w:hAnsi="Arial" w:cs="Arial"/>
                <w:color w:val="111111"/>
              </w:rPr>
            </w:pPr>
          </w:p>
        </w:tc>
        <w:bookmarkStart w:id="0" w:name="_GoBack"/>
        <w:bookmarkEnd w:id="0"/>
      </w:tr>
    </w:tbl>
    <w:p w:rsidR="0039568A" w:rsidRPr="00943A36" w:rsidRDefault="0039568A" w:rsidP="00A24B68">
      <w:pPr>
        <w:rPr>
          <w:rFonts w:ascii="Arial" w:eastAsia="Times New Roman" w:hAnsi="Arial" w:cs="Arial"/>
          <w:color w:val="111111"/>
          <w:sz w:val="24"/>
          <w:szCs w:val="24"/>
        </w:rPr>
      </w:pPr>
    </w:p>
    <w:sectPr w:rsidR="0039568A" w:rsidRPr="0094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7C"/>
    <w:rsid w:val="000467B9"/>
    <w:rsid w:val="00095401"/>
    <w:rsid w:val="000E41E6"/>
    <w:rsid w:val="00103592"/>
    <w:rsid w:val="00135130"/>
    <w:rsid w:val="00155B67"/>
    <w:rsid w:val="001C5A1F"/>
    <w:rsid w:val="00206656"/>
    <w:rsid w:val="00246575"/>
    <w:rsid w:val="00274C32"/>
    <w:rsid w:val="0029768E"/>
    <w:rsid w:val="002D7C83"/>
    <w:rsid w:val="003330F5"/>
    <w:rsid w:val="003368B6"/>
    <w:rsid w:val="00343DA1"/>
    <w:rsid w:val="00364278"/>
    <w:rsid w:val="0039568A"/>
    <w:rsid w:val="00403BB4"/>
    <w:rsid w:val="004255B7"/>
    <w:rsid w:val="004E7555"/>
    <w:rsid w:val="00504312"/>
    <w:rsid w:val="00504AD7"/>
    <w:rsid w:val="00510D75"/>
    <w:rsid w:val="00547FDF"/>
    <w:rsid w:val="00566361"/>
    <w:rsid w:val="005C1367"/>
    <w:rsid w:val="00606DC2"/>
    <w:rsid w:val="006B6956"/>
    <w:rsid w:val="006C334F"/>
    <w:rsid w:val="0078464F"/>
    <w:rsid w:val="007C392C"/>
    <w:rsid w:val="00806164"/>
    <w:rsid w:val="0083520E"/>
    <w:rsid w:val="008C5892"/>
    <w:rsid w:val="008C78AB"/>
    <w:rsid w:val="009060B9"/>
    <w:rsid w:val="00941319"/>
    <w:rsid w:val="00943A36"/>
    <w:rsid w:val="009C0A57"/>
    <w:rsid w:val="00A218AC"/>
    <w:rsid w:val="00A24B68"/>
    <w:rsid w:val="00A54865"/>
    <w:rsid w:val="00A6295C"/>
    <w:rsid w:val="00A90B43"/>
    <w:rsid w:val="00AC101B"/>
    <w:rsid w:val="00AE3639"/>
    <w:rsid w:val="00AF4CD6"/>
    <w:rsid w:val="00B1489D"/>
    <w:rsid w:val="00BE352C"/>
    <w:rsid w:val="00BE3D1F"/>
    <w:rsid w:val="00C661C1"/>
    <w:rsid w:val="00CB3A15"/>
    <w:rsid w:val="00CE7995"/>
    <w:rsid w:val="00D05371"/>
    <w:rsid w:val="00D818DF"/>
    <w:rsid w:val="00D82A04"/>
    <w:rsid w:val="00DE2F02"/>
    <w:rsid w:val="00DF327C"/>
    <w:rsid w:val="00E9199E"/>
    <w:rsid w:val="00EA0469"/>
    <w:rsid w:val="00F72684"/>
    <w:rsid w:val="00F809D3"/>
    <w:rsid w:val="00FB3A10"/>
    <w:rsid w:val="00FC4FD0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EC620-B974-4935-AE93-ADC30C7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B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A24B68"/>
  </w:style>
  <w:style w:type="table" w:styleId="TableGrid">
    <w:name w:val="Table Grid"/>
    <w:basedOn w:val="TableNormal"/>
    <w:uiPriority w:val="39"/>
    <w:rsid w:val="00103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5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Ahmed Allakani</cp:lastModifiedBy>
  <cp:revision>61</cp:revision>
  <dcterms:created xsi:type="dcterms:W3CDTF">2020-11-21T12:20:00Z</dcterms:created>
  <dcterms:modified xsi:type="dcterms:W3CDTF">2020-11-24T13:55:00Z</dcterms:modified>
</cp:coreProperties>
</file>