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【无忧存】【AI智能寄存推荐功能】可行性分析报告</w:t>
      </w:r>
    </w:p>
    <w:p>
      <w:bookmarkStart w:id="mhlormgd0hklfqa6eqzo" w:name="mhlormgd0hklfqa6eqzo"/>
      <w:pPr>
        <w:pStyle w:val="dingding-heading3"/>
      </w:pPr>
      <w:r>
        <w:rPr>
          <w:color w:val="000000"/>
        </w:rPr>
        <w:t xml:space="preserve">1. 报告摘要</w:t>
      </w:r>
      <w:bookmarkEnd w:id="mhlormgd0hklfqa6eqzo"/>
    </w:p>
    <w:p>
      <w:pPr>
        <w:numPr>
          <w:ilvl w:val="0"/>
          <w:numId w:val="1"/>
        </w:numPr>
      </w:pPr>
      <w:r>
        <w:rPr>
          <w:color w:val="000000"/>
        </w:rPr>
        <w:t xml:space="preserve">功能名称：AI 智能寄存推荐</w:t>
      </w:r>
    </w:p>
    <w:p>
      <w:pPr>
        <w:numPr>
          <w:ilvl w:val="0"/>
          <w:numId w:val="1"/>
        </w:numPr>
      </w:pPr>
      <w:r>
        <w:rPr>
          <w:color w:val="000000"/>
        </w:rPr>
        <w:t xml:space="preserve">项目目标：通过引入 AI 对话 + 结构化寄存推荐卡片，提高用户寄存下单转化率、增强用户体验</w:t>
      </w:r>
    </w:p>
    <w:p>
      <w:pPr>
        <w:numPr>
          <w:ilvl w:val="0"/>
          <w:numId w:val="1"/>
        </w:numPr>
      </w:pPr>
      <w:r>
        <w:rPr>
          <w:color w:val="000000"/>
        </w:rPr>
        <w:t xml:space="preserve">核心收益：转化率提升／提升营收</w:t>
      </w:r>
    </w:p>
    <w:p>
      <w:pPr>
        <w:numPr>
          <w:ilvl w:val="0"/>
          <w:numId w:val="1"/>
        </w:numPr>
      </w:pPr>
      <w:r>
        <w:rPr>
          <w:color w:val="000000"/>
        </w:rPr>
        <w:t xml:space="preserve">关键推荐：选用 Qwen3 模型 + RAG 检索系统，预计在 </w:t>
      </w:r>
      <w:r>
        <w:rPr>
          <w:color w:val="000000"/>
          <w:b w:val="1"/>
        </w:rPr>
        <w:t xml:space="preserve">1～2 个月内回本</w:t>
      </w:r>
    </w:p>
    <w:p>
      <w:bookmarkStart w:id="mhlormgelj854p7x8x9" w:name="mhlormgelj854p7x8x9"/>
      <w:pPr>
        <w:pStyle w:val="dingding-heading3"/>
      </w:pPr>
      <w:r>
        <w:rPr>
          <w:color w:val="000000"/>
        </w:rPr>
        <w:t xml:space="preserve">2. 项目背景与痛点</w:t>
      </w:r>
      <w:bookmarkEnd w:id="mhlormgelj854p7x8x9"/>
    </w:p>
    <w:p>
      <w:pPr>
        <w:numPr>
          <w:ilvl w:val="0"/>
          <w:numId w:val="2"/>
        </w:numPr>
      </w:pPr>
      <w:r>
        <w:rPr>
          <w:color w:val="000000"/>
        </w:rPr>
        <w:t xml:space="preserve">当前用户在寄存流程中需自行搜索、筛选，体验复杂、转化路径长，大部分找不到合适的寄存点</w:t>
      </w:r>
    </w:p>
    <w:p>
      <w:pPr/>
      <w:r>
        <w:rPr>
          <w:color w:val="000000"/>
        </w:rPr>
      </w:r>
      <w:r>
        <w:drawing>
          <wp:inline distT="0" distB="0" distL="0" distR="0">
            <wp:extent cx="7124700" cy="210712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21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numPr>
          <w:ilvl w:val="0"/>
          <w:numId w:val="2"/>
        </w:numPr>
      </w:pPr>
      <w:r>
        <w:rPr>
          <w:color w:val="000000"/>
        </w:rPr>
        <w:t xml:space="preserve">基础转化率为 </w:t>
      </w:r>
      <w:r>
        <w:rPr>
          <w:color w:val="000000"/>
          <w:b w:val="1"/>
        </w:rPr>
        <w:t xml:space="preserve">18%（人工寄存点+寄存柜）</w:t>
      </w:r>
    </w:p>
    <w:p>
      <w:pPr>
        <w:numPr>
          <w:ilvl w:val="0"/>
          <w:numId w:val="2"/>
        </w:numPr>
      </w:pPr>
      <w:r>
        <w:rPr>
          <w:color w:val="000000"/>
        </w:rPr>
        <w:t xml:space="preserve">用户主要为中国年轻群体（18-29 岁占比约 61%）、女性占比64.35%、一二线城市为主，具备较强 AI 接受度</w:t>
      </w:r>
    </w:p>
    <w:p>
      <w:pPr>
        <w:numPr>
          <w:ilvl w:val="0"/>
          <w:numId w:val="2"/>
        </w:numPr>
      </w:pPr>
      <w:r>
        <w:rPr>
          <w:color w:val="000000"/>
        </w:rPr>
        <w:t xml:space="preserve">引入 AI 智能推荐可简化用户路径、提升推荐精准度及点击率</w:t>
      </w:r>
    </w:p>
    <w:p>
      <w:bookmarkStart w:id="mhlormgertgyw2ztig" w:name="mhlormgertgyw2ztig"/>
      <w:pPr>
        <w:pStyle w:val="dingding-heading3"/>
      </w:pPr>
      <w:r>
        <w:rPr>
          <w:color w:val="000000"/>
        </w:rPr>
        <w:t xml:space="preserve">3. 可提升业务指标依据</w:t>
      </w:r>
      <w:bookmarkEnd w:id="mhlormgertgyw2ztig"/>
    </w:p>
    <w:p>
      <w:bookmarkStart w:id="mhlormgfsdlp4czohpg" w:name="mhlormgfsdlp4czohpg"/>
      <w:pPr>
        <w:pStyle w:val="dingding-heading4"/>
      </w:pPr>
      <w:r>
        <w:rPr>
          <w:color w:val="000000"/>
        </w:rPr>
        <w:t xml:space="preserve">a) 转化率</w:t>
      </w:r>
      <w:bookmarkEnd w:id="mhlormgfsdlp4czohpg"/>
    </w:p>
    <w:p>
      <w:pPr>
        <w:numPr>
          <w:ilvl w:val="0"/>
          <w:numId w:val="3"/>
        </w:numPr>
      </w:pPr>
      <w:r>
        <w:rPr>
          <w:color w:val="000000"/>
        </w:rPr>
        <w:t xml:space="preserve">参考行业案例：采用 AI 驱动推荐系统的企业普遍实现转化率提升 10-25%。</w:t>
      </w:r>
    </w:p>
    <w:p>
      <w:pPr>
        <w:numPr>
          <w:ilvl w:val="1"/>
          <w:numId w:val="3"/>
        </w:numPr>
      </w:pPr>
      <w:r>
        <w:rPr>
          <w:color w:val="000000"/>
        </w:rPr>
        <w:t xml:space="preserve">例如：某研究指出“AI 驱动推荐系统可将转化率提升至约+15%”。 (</w:t>
      </w:r>
      <w:hyperlink r:id="rId5">
        <w:r>
          <w:rPr>
            <w:rStyle w:val="hyperlink"/>
          </w:rPr>
          <w:t xml:space="preserve">SuperAGI</w:t>
        </w:r>
      </w:hyperlink>
      <w:r>
        <w:rPr>
          <w:color w:val="000000"/>
        </w:rPr>
        <w:t xml:space="preserve">)</w:t>
      </w:r>
    </w:p>
    <w:p>
      <w:pPr>
        <w:numPr>
          <w:ilvl w:val="1"/>
          <w:numId w:val="3"/>
        </w:numPr>
      </w:pPr>
      <w:r>
        <w:rPr>
          <w:color w:val="000000"/>
        </w:rPr>
        <w:t xml:space="preserve">另一研究发现中端零售场景转化率提升约 10-15%。 (</w:t>
      </w:r>
      <w:hyperlink r:id="rId6">
        <w:r>
          <w:rPr>
            <w:rStyle w:val="hyperlink"/>
          </w:rPr>
          <w:t xml:space="preserve">envive.ai</w:t>
        </w:r>
      </w:hyperlink>
      <w:r>
        <w:rPr>
          <w:color w:val="000000"/>
        </w:rPr>
        <w:t xml:space="preserve">)</w:t>
      </w:r>
    </w:p>
    <w:p>
      <w:pPr>
        <w:numPr>
          <w:ilvl w:val="0"/>
          <w:numId w:val="3"/>
        </w:numPr>
      </w:pPr>
      <w:r>
        <w:rPr>
          <w:color w:val="000000"/>
        </w:rPr>
        <w:t xml:space="preserve">本项目预估提升：将转化率从 18% 提升至 </w:t>
      </w:r>
      <w:r>
        <w:rPr>
          <w:color w:val="000000"/>
          <w:b w:val="1"/>
        </w:rPr>
        <w:t xml:space="preserve">约 21%-23%（人工寄存点+寄存柜）</w:t>
      </w:r>
      <w:r>
        <w:rPr>
          <w:color w:val="000000"/>
        </w:rPr>
        <w:t xml:space="preserve">。</w:t>
      </w:r>
    </w:p>
    <w:p>
      <w:bookmarkStart w:id="mhlormggb7riomz1pv" w:name="mhlormggb7riomz1pv"/>
      <w:pPr>
        <w:pStyle w:val="dingding-heading4"/>
      </w:pPr>
      <w:r>
        <w:rPr>
          <w:color w:val="000000"/>
        </w:rPr>
        <w:t xml:space="preserve">b) 营收增量 &amp;回本周期</w:t>
      </w:r>
      <w:bookmarkEnd w:id="mhlormggb7riomz1pv"/>
    </w:p>
    <w:p>
      <w:pPr>
        <w:numPr>
          <w:ilvl w:val="0"/>
          <w:numId w:val="4"/>
        </w:numPr>
      </w:pPr>
      <w:r>
        <w:rPr>
          <w:color w:val="000000"/>
        </w:rPr>
        <w:t xml:space="preserve">假设用户量、订单量维持不变，仅凭转化率提升，营收增量计算如下：</w:t>
      </w:r>
    </w:p>
    <w:p>
      <w:pPr>
        <w:numPr>
          <w:ilvl w:val="1"/>
          <w:numId w:val="4"/>
        </w:numPr>
      </w:pPr>
      <w:r>
        <w:rPr>
          <w:color w:val="000000"/>
        </w:rPr>
        <w:t xml:space="preserve">当前无忧存每月营收约 ¥71,688.77（不含寄存柜）。</w:t>
      </w:r>
    </w:p>
    <w:p>
      <w:pPr>
        <w:numPr>
          <w:ilvl w:val="1"/>
          <w:numId w:val="4"/>
        </w:numPr>
      </w:pPr>
      <w:r>
        <w:rPr>
          <w:color w:val="000000"/>
        </w:rPr>
        <w:t xml:space="preserve">若转化率提升至 23%，新营收约 ¥(71,688.77 × (23/18)) ≈ ¥91,800 → 增量约 ¥20,111/月。</w:t>
      </w:r>
    </w:p>
    <w:p>
      <w:pPr>
        <w:numPr>
          <w:ilvl w:val="0"/>
          <w:numId w:val="4"/>
        </w:numPr>
      </w:pPr>
      <w:r>
        <w:rPr>
          <w:color w:val="000000"/>
        </w:rPr>
        <w:t xml:space="preserve">若 AI 模型成本约 ¥367/月（参考通义 Qwen3-Plus 方案，可调）→ 回本周期约 </w:t>
      </w:r>
      <w:r>
        <w:rPr>
          <w:color w:val="000000"/>
          <w:b w:val="1"/>
        </w:rPr>
        <w:t xml:space="preserve">0.018 月（约0.54天）</w:t>
      </w:r>
      <w:r>
        <w:rPr>
          <w:color w:val="000000"/>
        </w:rPr>
        <w:t xml:space="preserve">，实际可设安全估计为 </w:t>
      </w:r>
      <w:r>
        <w:rPr>
          <w:color w:val="000000"/>
          <w:b w:val="1"/>
        </w:rPr>
        <w:t xml:space="preserve">1-2 个月</w:t>
      </w:r>
      <w:r>
        <w:rPr>
          <w:color w:val="000000"/>
        </w:rPr>
        <w:t xml:space="preserve">。</w:t>
      </w:r>
    </w:p>
    <w:p>
      <w:bookmarkStart w:id="mhlormgh59qs6q24ucf" w:name="mhlormgh59qs6q24ucf"/>
      <w:pPr>
        <w:pStyle w:val="dingding-heading4"/>
      </w:pPr>
      <w:r>
        <w:rPr>
          <w:color w:val="000000"/>
        </w:rPr>
        <w:t xml:space="preserve">c) 用户体验与品牌价值</w:t>
      </w:r>
      <w:bookmarkEnd w:id="mhlormgh59qs6q24ucf"/>
    </w:p>
    <w:p>
      <w:pPr>
        <w:numPr>
          <w:ilvl w:val="0"/>
          <w:numId w:val="5"/>
        </w:numPr>
      </w:pPr>
      <w:r>
        <w:rPr>
          <w:color w:val="000000"/>
        </w:rPr>
        <w:t xml:space="preserve">行程推荐、景点＋寄存卡片能增强用户黏性、促进复购。</w:t>
      </w:r>
    </w:p>
    <w:p>
      <w:pPr>
        <w:numPr>
          <w:ilvl w:val="0"/>
          <w:numId w:val="5"/>
        </w:numPr>
      </w:pPr>
      <w:r>
        <w:rPr>
          <w:color w:val="000000"/>
        </w:rPr>
        <w:t xml:space="preserve">AI 功能可作为差异化竞争点，提高品牌感知。</w:t>
      </w:r>
    </w:p>
    <w:p>
      <w:bookmarkStart w:id="mhlormgi1btguwarqgw" w:name="mhlormgi1btguwarqgw"/>
      <w:pPr>
        <w:pStyle w:val="dingding-heading3"/>
      </w:pPr>
      <w:r>
        <w:rPr>
          <w:color w:val="000000"/>
        </w:rPr>
        <w:t xml:space="preserve">4. 成本及回本周期分析</w:t>
      </w:r>
      <w:bookmarkEnd w:id="mhlormgi1btguwarqgw"/>
    </w:p>
    <w:p>
      <w:pPr>
        <w:numPr>
          <w:ilvl w:val="0"/>
          <w:numId w:val="6"/>
        </w:numPr>
      </w:pPr>
      <w:r>
        <w:rPr>
          <w:color w:val="000000"/>
        </w:rPr>
        <w:t xml:space="preserve">无忧存近两周日均访问量约</w:t>
      </w:r>
      <w:r>
        <w:rPr>
          <w:sz w:val="24"/>
          <w:color w:val="000000"/>
        </w:rPr>
        <w:t xml:space="preserve">7000</w:t>
      </w:r>
      <w:r>
        <w:rPr>
          <w:color w:val="000000"/>
        </w:rPr>
        <w:t xml:space="preserve">，节假日业务高峰期达20000，设ai功能点击率为15%（根据其他行业数据预估），用gpt辅助计算相关数据如下</w:t>
      </w:r>
    </w:p>
    <w:p>
      <w:pPr/>
      <w:r>
        <w:rPr>
          <w:color w:val="000000"/>
        </w:rPr>
      </w:r>
      <w:r>
        <w:drawing>
          <wp:inline distT="0" distB="0" distL="0" distR="0">
            <wp:extent cx="3724275" cy="2252663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3724275" cy="225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</w:r>
      <w:r>
        <w:drawing>
          <wp:inline distT="0" distB="0" distL="0" distR="0">
            <wp:extent cx="3719513" cy="1166813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3719513" cy="11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/>
      <w:r>
        <w:rPr>
          <w:color w:val="000000"/>
        </w:rPr>
      </w:r>
      <w:r>
        <w:drawing>
          <wp:inline distT="0" distB="0" distL="0" distR="0">
            <wp:extent cx="3700463" cy="2409825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3700463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/>
      <w:r>
        <w:rPr>
          <w:color w:val="000000"/>
        </w:rPr>
      </w:r>
      <w:r>
        <w:drawing>
          <wp:inline distT="0" distB="0" distL="0" distR="0">
            <wp:extent cx="3395663" cy="205740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339566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numPr>
          <w:ilvl w:val="0"/>
          <w:numId w:val="6"/>
        </w:numPr>
      </w:pPr>
      <w:r>
        <w:rPr>
          <w:color w:val="000000"/>
        </w:rPr>
        <w:t xml:space="preserve">模型调用成本：以通义 Qwen3 模型为例，每次调用输入+输出约 </w:t>
      </w:r>
      <w:r>
        <w:rPr>
          <w:sz w:val="24"/>
          <w:color w:val="000000"/>
        </w:rPr>
        <w:t xml:space="preserve">3,500</w:t>
      </w:r>
      <w:r>
        <w:rPr>
          <w:color w:val="000000"/>
        </w:rPr>
        <w:t xml:space="preserve"> tokens，按价格表计算每次（假设每次询问进行3轮对话）。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可得回本周期较短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风险缓释：先进行灰度测试。</w:t>
      </w:r>
    </w:p>
    <w:p>
      <w:bookmarkStart w:id="mhlormgmbhnf2yhrjwr" w:name="mhlormgmbhnf2yhrjwr"/>
      <w:pPr>
        <w:pStyle w:val="dingding-heading3"/>
      </w:pPr>
      <w:r>
        <w:rPr>
          <w:color w:val="000000"/>
        </w:rPr>
        <w:t xml:space="preserve">5. 结论</w:t>
      </w:r>
      <w:bookmarkEnd w:id="mhlormgmbhnf2yhrjwr"/>
    </w:p>
    <w:p>
      <w:pPr>
        <w:numPr>
          <w:ilvl w:val="0"/>
          <w:numId w:val="7"/>
        </w:numPr>
      </w:pPr>
      <w:r>
        <w:rPr>
          <w:color w:val="000000"/>
        </w:rPr>
        <w:t xml:space="preserve">本功能在现有用户群体、业务场景中具备高度可行性</w:t>
      </w:r>
    </w:p>
    <w:p>
      <w:pPr>
        <w:numPr>
          <w:ilvl w:val="0"/>
          <w:numId w:val="7"/>
        </w:numPr>
      </w:pPr>
      <w:r>
        <w:rPr>
          <w:color w:val="000000"/>
        </w:rPr>
        <w:t xml:space="preserve">若转化率提升如预期，则营收与回本效果显著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">
    <w:abstractNumId w:val="3"/>
  </w:num>
  <w:num w:numId="7">
    <w:abstractNumId w:val="6"/>
  </w:num>
  <w:num w:numId="3">
    <w:abstractNumId w:val="2"/>
  </w:num>
  <w:num w:numId="5">
    <w:abstractNumId w:val="4"/>
  </w:num>
  <w:num w:numId="2">
    <w:abstractNumId w:val="1"/>
  </w:num>
  <w:num w:numId="6">
    <w:abstractNumId w:val="5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hyperlink" Target="https://superagi.com/case-studies-how-top-brands-are-using-ai-recommendation-engines-to-boost-sales-and-customer-satisfaction-in-2025/?utm_source=chatgpt.com" TargetMode="External" />
  <Relationship Id="rId6" Type="http://schemas.openxmlformats.org/officeDocument/2006/relationships/hyperlink" Target="https://www.envive.ai/post/ai-improves-conversion-rate-in-ecommerce?utm_source=chatgpt.com" TargetMode="External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image" Target="media/image4.png" />
  <Relationship Id="rId10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