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3F" w:rsidRDefault="00D4423F" w:rsidP="00D4423F">
      <w:pPr>
        <w:spacing w:after="0" w:line="240" w:lineRule="auto"/>
        <w:jc w:val="center"/>
      </w:pPr>
      <w:r>
        <w:t>Fun Facts:</w:t>
      </w:r>
    </w:p>
    <w:p w:rsidR="00D4423F" w:rsidRPr="000076F1" w:rsidRDefault="00E63AB5" w:rsidP="00D4423F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DOUBLE</w:t>
      </w:r>
      <w:r w:rsidR="00D4423F" w:rsidRPr="000076F1">
        <w:rPr>
          <w:b/>
          <w:sz w:val="72"/>
          <w:szCs w:val="72"/>
        </w:rPr>
        <w:t xml:space="preserve"> CLUSTER</w:t>
      </w:r>
    </w:p>
    <w:p w:rsidR="004145F7" w:rsidRPr="00372FA0" w:rsidRDefault="00F61F85" w:rsidP="00AC4AD1">
      <w:pPr>
        <w:jc w:val="center"/>
        <w:rPr>
          <w:color w:val="FF0000"/>
        </w:rPr>
      </w:pPr>
      <w:r w:rsidRPr="00042C65">
        <w:t xml:space="preserve">Computer Code: </w:t>
      </w:r>
      <w:r w:rsidR="003B128D">
        <w:rPr>
          <w:color w:val="FF0000"/>
        </w:rPr>
        <w:tab/>
      </w:r>
    </w:p>
    <w:p w:rsidR="00026A22" w:rsidRDefault="00026A22" w:rsidP="00026A22">
      <w:pPr>
        <w:pStyle w:val="ListParagraph"/>
        <w:rPr>
          <w:b/>
        </w:rPr>
      </w:pPr>
    </w:p>
    <w:p w:rsidR="00D4423F" w:rsidRPr="003B128D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3B128D">
        <w:rPr>
          <w:b/>
        </w:rPr>
        <w:t>Other Names:</w:t>
      </w:r>
    </w:p>
    <w:p w:rsidR="00382652" w:rsidRPr="003B128D" w:rsidRDefault="003B128D" w:rsidP="00D4423F">
      <w:pPr>
        <w:pStyle w:val="ListParagraph"/>
        <w:numPr>
          <w:ilvl w:val="1"/>
          <w:numId w:val="1"/>
        </w:numPr>
      </w:pPr>
      <w:r w:rsidRPr="003B128D">
        <w:t>NGC 869  &amp; NGC 884</w:t>
      </w:r>
    </w:p>
    <w:p w:rsidR="004042BD" w:rsidRPr="003B128D" w:rsidRDefault="003B128D" w:rsidP="003B128D">
      <w:pPr>
        <w:pStyle w:val="ListParagraph"/>
        <w:numPr>
          <w:ilvl w:val="1"/>
          <w:numId w:val="1"/>
        </w:numPr>
      </w:pPr>
      <w:r w:rsidRPr="003B128D">
        <w:rPr>
          <w:rFonts w:ascii="Symbol" w:hAnsi="Symbol" w:cs="Times New Roman"/>
        </w:rPr>
        <w:t></w:t>
      </w:r>
      <w:r w:rsidRPr="003B128D">
        <w:t xml:space="preserve"> &amp; </w:t>
      </w:r>
      <w:r w:rsidRPr="003B128D">
        <w:rPr>
          <w:rFonts w:ascii="Segoe UI Symbol" w:hAnsi="Segoe UI Symbol" w:cs="Times New Roman"/>
        </w:rPr>
        <w:t>X</w:t>
      </w:r>
      <w:r w:rsidRPr="003B128D">
        <w:t xml:space="preserve"> Per</w:t>
      </w:r>
    </w:p>
    <w:p w:rsidR="003B128D" w:rsidRPr="003B128D" w:rsidRDefault="003B128D" w:rsidP="003B128D">
      <w:pPr>
        <w:pStyle w:val="ListParagraph"/>
        <w:numPr>
          <w:ilvl w:val="1"/>
          <w:numId w:val="1"/>
        </w:numPr>
      </w:pPr>
      <w:r w:rsidRPr="003B128D">
        <w:t xml:space="preserve">Eta &amp; Chi </w:t>
      </w:r>
      <w:proofErr w:type="spellStart"/>
      <w:r w:rsidRPr="003B128D">
        <w:t>Persei</w:t>
      </w:r>
      <w:proofErr w:type="spellEnd"/>
    </w:p>
    <w:p w:rsidR="003B128D" w:rsidRPr="003B128D" w:rsidRDefault="003B128D" w:rsidP="003B128D">
      <w:pPr>
        <w:pStyle w:val="ListParagraph"/>
        <w:numPr>
          <w:ilvl w:val="1"/>
          <w:numId w:val="1"/>
        </w:numPr>
      </w:pPr>
      <w:proofErr w:type="spellStart"/>
      <w:r w:rsidRPr="003B128D">
        <w:t>Persei</w:t>
      </w:r>
      <w:proofErr w:type="spellEnd"/>
      <w:r w:rsidRPr="003B128D">
        <w:t xml:space="preserve"> Double Cluster</w:t>
      </w:r>
    </w:p>
    <w:p w:rsidR="00D4423F" w:rsidRPr="00372FA0" w:rsidRDefault="00D4423F" w:rsidP="00D4423F">
      <w:pPr>
        <w:pStyle w:val="ListParagraph"/>
        <w:rPr>
          <w:color w:val="FF0000"/>
        </w:rPr>
      </w:pPr>
    </w:p>
    <w:p w:rsidR="00D4423F" w:rsidRPr="00673417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673417">
        <w:rPr>
          <w:b/>
        </w:rPr>
        <w:t>Basics:</w:t>
      </w:r>
    </w:p>
    <w:p w:rsidR="00776EEB" w:rsidRDefault="00D4423F" w:rsidP="00673417">
      <w:pPr>
        <w:pStyle w:val="ListParagraph"/>
        <w:numPr>
          <w:ilvl w:val="1"/>
          <w:numId w:val="1"/>
        </w:numPr>
      </w:pPr>
      <w:r w:rsidRPr="00673417">
        <w:t>Descripti</w:t>
      </w:r>
      <w:r w:rsidR="001F23F9" w:rsidRPr="00673417">
        <w:t>on</w:t>
      </w:r>
      <w:r w:rsidR="001C277D" w:rsidRPr="00673417">
        <w:t xml:space="preserve">: </w:t>
      </w:r>
      <w:r w:rsidR="00673417" w:rsidRPr="00673417">
        <w:t>famous double cluster in Perseus</w:t>
      </w:r>
      <w:r w:rsidR="00630AE9">
        <w:t xml:space="preserve">.  </w:t>
      </w:r>
    </w:p>
    <w:p w:rsidR="00673417" w:rsidRDefault="00673417" w:rsidP="00673417">
      <w:pPr>
        <w:pStyle w:val="ListParagraph"/>
        <w:numPr>
          <w:ilvl w:val="2"/>
          <w:numId w:val="1"/>
        </w:numPr>
      </w:pPr>
      <w:r>
        <w:t xml:space="preserve">NGC 869 is Eta </w:t>
      </w:r>
      <w:proofErr w:type="spellStart"/>
      <w:r>
        <w:t>Persei</w:t>
      </w:r>
      <w:proofErr w:type="spellEnd"/>
    </w:p>
    <w:p w:rsidR="00673417" w:rsidRDefault="00673417" w:rsidP="00673417">
      <w:pPr>
        <w:pStyle w:val="ListParagraph"/>
        <w:numPr>
          <w:ilvl w:val="2"/>
          <w:numId w:val="1"/>
        </w:numPr>
      </w:pPr>
      <w:r>
        <w:t xml:space="preserve">NCG 884 is Chi </w:t>
      </w:r>
      <w:proofErr w:type="spellStart"/>
      <w:r>
        <w:t>Persei</w:t>
      </w:r>
      <w:proofErr w:type="spellEnd"/>
    </w:p>
    <w:p w:rsidR="00630AE9" w:rsidRDefault="00630AE9" w:rsidP="00630AE9">
      <w:pPr>
        <w:pStyle w:val="ListParagraph"/>
        <w:numPr>
          <w:ilvl w:val="1"/>
          <w:numId w:val="1"/>
        </w:numPr>
      </w:pPr>
      <w:r>
        <w:t xml:space="preserve">They show up together nicely in binoculars or wide-field telescopes.  They are out all year-round, but are highest in the sky when the Big Dipper is at its lowest (late fall &amp; winter).  </w:t>
      </w:r>
    </w:p>
    <w:p w:rsidR="00EA104D" w:rsidRDefault="00EA104D" w:rsidP="00EA104D">
      <w:pPr>
        <w:pStyle w:val="ListParagraph"/>
        <w:numPr>
          <w:ilvl w:val="1"/>
          <w:numId w:val="1"/>
        </w:numPr>
        <w:spacing w:after="0"/>
      </w:pPr>
      <w:r>
        <w:t>They are about 7,000 light years away.</w:t>
      </w:r>
    </w:p>
    <w:p w:rsidR="00EA104D" w:rsidRDefault="00EA104D" w:rsidP="00EA104D">
      <w:pPr>
        <w:pStyle w:val="ListParagraph"/>
        <w:numPr>
          <w:ilvl w:val="1"/>
          <w:numId w:val="1"/>
        </w:numPr>
        <w:spacing w:after="0"/>
      </w:pPr>
      <w:r>
        <w:t>They are likely separated by only a couple hundred light years.</w:t>
      </w:r>
    </w:p>
    <w:p w:rsidR="007D3158" w:rsidRDefault="00C071D0" w:rsidP="00EA104D">
      <w:pPr>
        <w:pStyle w:val="ListParagraph"/>
        <w:numPr>
          <w:ilvl w:val="1"/>
          <w:numId w:val="1"/>
        </w:numPr>
        <w:spacing w:after="0"/>
      </w:pPr>
      <w:r>
        <w:t xml:space="preserve">Both contain stars that are </w:t>
      </w:r>
      <w:r w:rsidR="007D3158">
        <w:t>younger and hotter than the Sun.</w:t>
      </w:r>
    </w:p>
    <w:p w:rsidR="007D3158" w:rsidRDefault="007D3158" w:rsidP="007D3158">
      <w:pPr>
        <w:pStyle w:val="ListParagraph"/>
        <w:numPr>
          <w:ilvl w:val="2"/>
          <w:numId w:val="1"/>
        </w:numPr>
        <w:spacing w:after="0"/>
      </w:pPr>
      <w:r>
        <w:t xml:space="preserve">Many are as much as </w:t>
      </w:r>
      <w:proofErr w:type="gramStart"/>
      <w:r>
        <w:t>50,000x</w:t>
      </w:r>
      <w:proofErr w:type="gramEnd"/>
      <w:r>
        <w:t xml:space="preserve"> more luminous than our Sun.</w:t>
      </w:r>
    </w:p>
    <w:p w:rsidR="007D3158" w:rsidRDefault="007D3158" w:rsidP="007D3158">
      <w:pPr>
        <w:pStyle w:val="ListParagraph"/>
        <w:numPr>
          <w:ilvl w:val="2"/>
          <w:numId w:val="1"/>
        </w:numPr>
        <w:spacing w:after="0"/>
      </w:pPr>
      <w:r>
        <w:t>Most are 3 -5 million years old (compared to the Pleiades Cluster, which is about 75-100 million years old).</w:t>
      </w:r>
    </w:p>
    <w:p w:rsidR="00C071D0" w:rsidRPr="00673417" w:rsidRDefault="00026A22" w:rsidP="007D3158">
      <w:pPr>
        <w:pStyle w:val="ListParagraph"/>
        <w:numPr>
          <w:ilvl w:val="2"/>
          <w:numId w:val="1"/>
        </w:numPr>
        <w:spacing w:after="0"/>
      </w:pPr>
      <w:r>
        <w:t>The</w:t>
      </w:r>
      <w:r w:rsidR="00C071D0">
        <w:t xml:space="preserve"> </w:t>
      </w:r>
      <w:proofErr w:type="gramStart"/>
      <w:r w:rsidR="00C071D0">
        <w:t>makeup of the clusters are</w:t>
      </w:r>
      <w:proofErr w:type="gramEnd"/>
      <w:r w:rsidR="00C071D0">
        <w:t xml:space="preserve"> similar in this regard, meaning they were likely produced from the same star-forming region.</w:t>
      </w:r>
    </w:p>
    <w:p w:rsidR="00D4423F" w:rsidRPr="00372FA0" w:rsidRDefault="00D4423F" w:rsidP="00D4423F">
      <w:pPr>
        <w:pStyle w:val="ListParagraph"/>
        <w:rPr>
          <w:color w:val="FF0000"/>
        </w:rPr>
      </w:pPr>
    </w:p>
    <w:p w:rsidR="00D4423F" w:rsidRPr="004159BA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4159BA">
        <w:rPr>
          <w:b/>
        </w:rPr>
        <w:t>History:</w:t>
      </w:r>
    </w:p>
    <w:p w:rsidR="00630AE9" w:rsidRDefault="00630AE9" w:rsidP="00630AE9">
      <w:pPr>
        <w:pStyle w:val="ListParagraph"/>
        <w:numPr>
          <w:ilvl w:val="1"/>
          <w:numId w:val="1"/>
        </w:numPr>
      </w:pPr>
      <w:r>
        <w:t>The Double Cluster represents the jeweled handle of Perseus’ sword.</w:t>
      </w:r>
    </w:p>
    <w:p w:rsidR="00015281" w:rsidRDefault="00673417" w:rsidP="001F23F9">
      <w:pPr>
        <w:pStyle w:val="ListParagraph"/>
        <w:numPr>
          <w:ilvl w:val="1"/>
          <w:numId w:val="1"/>
        </w:numPr>
      </w:pPr>
      <w:r w:rsidRPr="004159BA">
        <w:t xml:space="preserve">First cataloged by Greek astronomer </w:t>
      </w:r>
      <w:proofErr w:type="spellStart"/>
      <w:r w:rsidRPr="004159BA">
        <w:t>Hipparcos</w:t>
      </w:r>
      <w:proofErr w:type="spellEnd"/>
      <w:r w:rsidRPr="004159BA">
        <w:t xml:space="preserve"> in 130 BC.</w:t>
      </w:r>
    </w:p>
    <w:p w:rsidR="00EA104D" w:rsidRDefault="00EA104D" w:rsidP="001F23F9">
      <w:pPr>
        <w:pStyle w:val="ListParagraph"/>
        <w:numPr>
          <w:ilvl w:val="1"/>
          <w:numId w:val="1"/>
        </w:numPr>
      </w:pPr>
      <w:r>
        <w:t>William Herschel was the first to identify this as two different clusters.</w:t>
      </w:r>
    </w:p>
    <w:p w:rsidR="00673417" w:rsidRDefault="00673417" w:rsidP="001F23F9">
      <w:pPr>
        <w:pStyle w:val="ListParagraph"/>
        <w:numPr>
          <w:ilvl w:val="1"/>
          <w:numId w:val="1"/>
        </w:numPr>
      </w:pPr>
      <w:r w:rsidRPr="004159BA">
        <w:t xml:space="preserve">In the 1840s, confusion </w:t>
      </w:r>
      <w:r w:rsidR="004159BA" w:rsidRPr="004159BA">
        <w:t xml:space="preserve">between “nebulous star” and “star” in early measurements by </w:t>
      </w:r>
      <w:proofErr w:type="spellStart"/>
      <w:r w:rsidR="004159BA" w:rsidRPr="004159BA">
        <w:t>Tycho</w:t>
      </w:r>
      <w:proofErr w:type="spellEnd"/>
      <w:r w:rsidR="004159BA" w:rsidRPr="004159BA">
        <w:t xml:space="preserve"> Brahe and Johann Bayer led to these clusters being named and recorded with typical star names and designations.</w:t>
      </w:r>
    </w:p>
    <w:p w:rsidR="0038110F" w:rsidRPr="004159BA" w:rsidRDefault="0038110F" w:rsidP="001F23F9">
      <w:pPr>
        <w:pStyle w:val="ListParagraph"/>
        <w:numPr>
          <w:ilvl w:val="1"/>
          <w:numId w:val="1"/>
        </w:numPr>
      </w:pPr>
      <w:r>
        <w:t>For some reason, Messier did not include these in his catalog.</w:t>
      </w:r>
    </w:p>
    <w:p w:rsidR="00B77227" w:rsidRPr="00372FA0" w:rsidRDefault="00B77227" w:rsidP="00D4423F">
      <w:pPr>
        <w:pStyle w:val="ListParagraph"/>
        <w:rPr>
          <w:color w:val="FF0000"/>
        </w:rPr>
      </w:pPr>
    </w:p>
    <w:p w:rsidR="00D4423F" w:rsidRPr="004159BA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4159BA">
        <w:rPr>
          <w:b/>
        </w:rPr>
        <w:t>Other Notes:</w:t>
      </w:r>
    </w:p>
    <w:p w:rsidR="00026A22" w:rsidRDefault="004159BA" w:rsidP="00026A22">
      <w:pPr>
        <w:pStyle w:val="ListParagraph"/>
        <w:numPr>
          <w:ilvl w:val="1"/>
          <w:numId w:val="1"/>
        </w:numPr>
      </w:pPr>
      <w:r w:rsidRPr="004159BA">
        <w:t xml:space="preserve">Both clusters are blue-shifted, which means they are both moving toward </w:t>
      </w:r>
      <w:r w:rsidR="00FD44A0">
        <w:t>Earth, each at about 12 miles per second</w:t>
      </w:r>
      <w:bookmarkStart w:id="0" w:name="_GoBack"/>
      <w:bookmarkEnd w:id="0"/>
      <w:r w:rsidR="00026A22">
        <w:t>.</w:t>
      </w:r>
    </w:p>
    <w:p w:rsidR="0037520B" w:rsidRPr="0037520B" w:rsidRDefault="0037520B" w:rsidP="0037520B">
      <w:pPr>
        <w:sectPr w:rsidR="0037520B" w:rsidRPr="003752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1427" w:rsidRPr="00673417" w:rsidRDefault="00DF1427" w:rsidP="00DF14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Eta </w:t>
      </w:r>
      <w:proofErr w:type="spellStart"/>
      <w:r>
        <w:rPr>
          <w:b/>
        </w:rPr>
        <w:t>Persei</w:t>
      </w:r>
      <w:proofErr w:type="spellEnd"/>
      <w:r>
        <w:rPr>
          <w:b/>
        </w:rPr>
        <w:tab/>
        <w:t>NGC 869</w:t>
      </w:r>
    </w:p>
    <w:p w:rsidR="00DF1427" w:rsidRPr="00122895" w:rsidRDefault="00DF1427" w:rsidP="00DF1427">
      <w:pPr>
        <w:pStyle w:val="ListParagraph"/>
        <w:numPr>
          <w:ilvl w:val="1"/>
          <w:numId w:val="1"/>
        </w:numPr>
      </w:pPr>
      <w:r w:rsidRPr="00122895">
        <w:t>Location:</w:t>
      </w:r>
    </w:p>
    <w:p w:rsidR="00DF1427" w:rsidRPr="00122895" w:rsidRDefault="00DF1427" w:rsidP="00DF1427">
      <w:pPr>
        <w:pStyle w:val="ListParagraph"/>
        <w:numPr>
          <w:ilvl w:val="2"/>
          <w:numId w:val="1"/>
        </w:numPr>
      </w:pPr>
      <w:r w:rsidRPr="00122895">
        <w:t>RA: 02</w:t>
      </w:r>
      <w:r w:rsidRPr="00122895">
        <w:rPr>
          <w:vertAlign w:val="superscript"/>
        </w:rPr>
        <w:t>h</w:t>
      </w:r>
      <w:r w:rsidR="00122895" w:rsidRPr="00122895">
        <w:t xml:space="preserve"> 20</w:t>
      </w:r>
      <w:r w:rsidRPr="00122895">
        <w:rPr>
          <w:vertAlign w:val="superscript"/>
        </w:rPr>
        <w:t>m</w:t>
      </w:r>
      <w:r w:rsidR="00122895" w:rsidRPr="00122895">
        <w:t xml:space="preserve"> 2</w:t>
      </w:r>
      <w:r w:rsidRPr="00122895">
        <w:rPr>
          <w:vertAlign w:val="superscript"/>
        </w:rPr>
        <w:t>s</w:t>
      </w:r>
    </w:p>
    <w:p w:rsidR="00DF1427" w:rsidRPr="00122895" w:rsidRDefault="00DF1427" w:rsidP="00026A22">
      <w:pPr>
        <w:pStyle w:val="ListParagraph"/>
        <w:numPr>
          <w:ilvl w:val="2"/>
          <w:numId w:val="1"/>
        </w:numPr>
      </w:pPr>
      <w:r w:rsidRPr="00122895">
        <w:t>Dec: +57</w:t>
      </w:r>
      <w:r w:rsidRPr="00122895">
        <w:rPr>
          <w:rFonts w:cstheme="minorHAnsi"/>
        </w:rPr>
        <w:t>⁰</w:t>
      </w:r>
      <w:r w:rsidR="00122895" w:rsidRPr="00122895">
        <w:t xml:space="preserve"> 12</w:t>
      </w:r>
      <w:r w:rsidRPr="00122895">
        <w:t>’</w:t>
      </w:r>
    </w:p>
    <w:p w:rsidR="00DF1427" w:rsidRPr="00122895" w:rsidRDefault="00122895" w:rsidP="00DF1427">
      <w:pPr>
        <w:pStyle w:val="ListParagraph"/>
        <w:numPr>
          <w:ilvl w:val="1"/>
          <w:numId w:val="1"/>
        </w:numPr>
      </w:pPr>
      <w:r w:rsidRPr="00122895">
        <w:t>Visual Magnitude: +5.3</w:t>
      </w:r>
      <w:r w:rsidR="00DF1427" w:rsidRPr="00122895">
        <w:t>0</w:t>
      </w:r>
    </w:p>
    <w:p w:rsidR="00DF1427" w:rsidRPr="00122895" w:rsidRDefault="00122895" w:rsidP="00DF1427">
      <w:pPr>
        <w:pStyle w:val="ListParagraph"/>
        <w:numPr>
          <w:ilvl w:val="1"/>
          <w:numId w:val="1"/>
        </w:numPr>
      </w:pPr>
      <w:r w:rsidRPr="00122895">
        <w:t>Apparent Size: 18</w:t>
      </w:r>
      <w:r w:rsidR="00DF1427" w:rsidRPr="00122895">
        <w:t xml:space="preserve">.0 arcminutes </w:t>
      </w:r>
    </w:p>
    <w:p w:rsidR="00DF1427" w:rsidRDefault="00DF1427" w:rsidP="00DF1427">
      <w:pPr>
        <w:pStyle w:val="ListParagraph"/>
        <w:numPr>
          <w:ilvl w:val="1"/>
          <w:numId w:val="1"/>
        </w:numPr>
      </w:pPr>
      <w:r w:rsidRPr="00122895">
        <w:t>Diamete</w:t>
      </w:r>
      <w:r w:rsidR="00122895" w:rsidRPr="00122895">
        <w:t>r: 35.5</w:t>
      </w:r>
      <w:r w:rsidRPr="00122895">
        <w:t xml:space="preserve"> light years across</w:t>
      </w:r>
    </w:p>
    <w:p w:rsidR="00122895" w:rsidRDefault="00122895" w:rsidP="00DF1427">
      <w:pPr>
        <w:pStyle w:val="ListParagraph"/>
        <w:numPr>
          <w:ilvl w:val="1"/>
          <w:numId w:val="1"/>
        </w:numPr>
      </w:pPr>
      <w:r>
        <w:t>More compressed of the two</w:t>
      </w:r>
    </w:p>
    <w:p w:rsidR="00026A22" w:rsidRDefault="00026A22" w:rsidP="00026A22">
      <w:pPr>
        <w:pStyle w:val="ListParagraph"/>
        <w:numPr>
          <w:ilvl w:val="1"/>
          <w:numId w:val="1"/>
        </w:numPr>
      </w:pPr>
      <w:r>
        <w:t>&gt;200 bluish-white stars</w:t>
      </w:r>
    </w:p>
    <w:p w:rsidR="00026A22" w:rsidRDefault="00026A22" w:rsidP="00026A22">
      <w:pPr>
        <w:pStyle w:val="ListParagraph"/>
        <w:ind w:left="1440"/>
      </w:pPr>
    </w:p>
    <w:p w:rsidR="00122895" w:rsidRPr="00122895" w:rsidRDefault="00122895" w:rsidP="00026A22">
      <w:pPr>
        <w:ind w:left="1080"/>
      </w:pPr>
    </w:p>
    <w:p w:rsidR="00DF1427" w:rsidRDefault="00DF1427" w:rsidP="00DF1427">
      <w:pPr>
        <w:rPr>
          <w:color w:val="FF0000"/>
        </w:rPr>
      </w:pPr>
    </w:p>
    <w:p w:rsidR="00DF1427" w:rsidRPr="00673417" w:rsidRDefault="00DF1427" w:rsidP="00DF14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Chi </w:t>
      </w:r>
      <w:proofErr w:type="spellStart"/>
      <w:r>
        <w:rPr>
          <w:b/>
        </w:rPr>
        <w:t>Persei</w:t>
      </w:r>
      <w:proofErr w:type="spellEnd"/>
      <w:r>
        <w:rPr>
          <w:b/>
        </w:rPr>
        <w:tab/>
        <w:t>NGC 884</w:t>
      </w:r>
    </w:p>
    <w:p w:rsidR="00DF1427" w:rsidRPr="00DF1427" w:rsidRDefault="00DF1427" w:rsidP="00DF1427">
      <w:pPr>
        <w:pStyle w:val="ListParagraph"/>
        <w:numPr>
          <w:ilvl w:val="1"/>
          <w:numId w:val="1"/>
        </w:numPr>
      </w:pPr>
      <w:r w:rsidRPr="00DF1427">
        <w:t>Location:</w:t>
      </w:r>
    </w:p>
    <w:p w:rsidR="00DF1427" w:rsidRPr="00DF1427" w:rsidRDefault="00DF1427" w:rsidP="00DF1427">
      <w:pPr>
        <w:pStyle w:val="ListParagraph"/>
        <w:numPr>
          <w:ilvl w:val="2"/>
          <w:numId w:val="1"/>
        </w:numPr>
      </w:pPr>
      <w:r w:rsidRPr="00DF1427">
        <w:t>RA: 02</w:t>
      </w:r>
      <w:r w:rsidRPr="00DF1427">
        <w:rPr>
          <w:vertAlign w:val="superscript"/>
        </w:rPr>
        <w:t>h</w:t>
      </w:r>
      <w:r w:rsidRPr="00DF1427">
        <w:t xml:space="preserve"> 23</w:t>
      </w:r>
      <w:r w:rsidRPr="00DF1427">
        <w:rPr>
          <w:vertAlign w:val="superscript"/>
        </w:rPr>
        <w:t>m</w:t>
      </w:r>
      <w:r w:rsidRPr="00DF1427">
        <w:t xml:space="preserve"> 6</w:t>
      </w:r>
      <w:r w:rsidRPr="00DF1427">
        <w:rPr>
          <w:vertAlign w:val="superscript"/>
        </w:rPr>
        <w:t>s</w:t>
      </w:r>
    </w:p>
    <w:p w:rsidR="00DF1427" w:rsidRPr="00DF1427" w:rsidRDefault="00DF1427" w:rsidP="00DF1427">
      <w:pPr>
        <w:pStyle w:val="ListParagraph"/>
        <w:numPr>
          <w:ilvl w:val="2"/>
          <w:numId w:val="1"/>
        </w:numPr>
      </w:pPr>
      <w:r w:rsidRPr="00DF1427">
        <w:t>Dec: +57</w:t>
      </w:r>
      <w:r w:rsidRPr="00DF1427">
        <w:rPr>
          <w:rFonts w:cstheme="minorHAnsi"/>
        </w:rPr>
        <w:t>⁰</w:t>
      </w:r>
      <w:r w:rsidRPr="00DF1427">
        <w:t xml:space="preserve"> 11’</w:t>
      </w:r>
    </w:p>
    <w:p w:rsidR="00DF1427" w:rsidRPr="00122895" w:rsidRDefault="00DF1427" w:rsidP="00DF1427">
      <w:pPr>
        <w:pStyle w:val="ListParagraph"/>
        <w:numPr>
          <w:ilvl w:val="1"/>
          <w:numId w:val="1"/>
        </w:numPr>
      </w:pPr>
      <w:r w:rsidRPr="00122895">
        <w:t>Visual Magnitude: +6</w:t>
      </w:r>
      <w:r w:rsidR="00122895" w:rsidRPr="00122895">
        <w:t>.09</w:t>
      </w:r>
    </w:p>
    <w:p w:rsidR="00DF1427" w:rsidRPr="00122895" w:rsidRDefault="00122895" w:rsidP="00DF1427">
      <w:pPr>
        <w:pStyle w:val="ListParagraph"/>
        <w:numPr>
          <w:ilvl w:val="1"/>
          <w:numId w:val="1"/>
        </w:numPr>
      </w:pPr>
      <w:r w:rsidRPr="00122895">
        <w:t>Apparent Size: 18</w:t>
      </w:r>
      <w:r w:rsidR="00DF1427" w:rsidRPr="00122895">
        <w:t xml:space="preserve">.0 arcminutes </w:t>
      </w:r>
    </w:p>
    <w:p w:rsidR="00DF1427" w:rsidRDefault="00DF1427" w:rsidP="00DF1427">
      <w:pPr>
        <w:pStyle w:val="ListParagraph"/>
        <w:numPr>
          <w:ilvl w:val="1"/>
          <w:numId w:val="1"/>
        </w:numPr>
      </w:pPr>
      <w:r w:rsidRPr="00122895">
        <w:t>Diamete</w:t>
      </w:r>
      <w:r w:rsidR="00122895" w:rsidRPr="00122895">
        <w:t>r: 50.2</w:t>
      </w:r>
      <w:r w:rsidRPr="00122895">
        <w:t xml:space="preserve"> light years across</w:t>
      </w:r>
    </w:p>
    <w:p w:rsidR="00122895" w:rsidRDefault="00122895" w:rsidP="00DF1427">
      <w:pPr>
        <w:pStyle w:val="ListParagraph"/>
        <w:numPr>
          <w:ilvl w:val="1"/>
          <w:numId w:val="1"/>
        </w:numPr>
      </w:pPr>
      <w:r>
        <w:t>Older of the two clusters</w:t>
      </w:r>
    </w:p>
    <w:p w:rsidR="00026A22" w:rsidRDefault="00026A22" w:rsidP="00026A22">
      <w:pPr>
        <w:pStyle w:val="ListParagraph"/>
        <w:numPr>
          <w:ilvl w:val="1"/>
          <w:numId w:val="1"/>
        </w:numPr>
      </w:pPr>
      <w:r>
        <w:t>About 150 stars, mostly white &amp; bluish-white</w:t>
      </w:r>
    </w:p>
    <w:p w:rsidR="00122895" w:rsidRPr="00122895" w:rsidRDefault="00122895" w:rsidP="00026A22">
      <w:pPr>
        <w:pStyle w:val="ListParagraph"/>
        <w:ind w:left="1440"/>
      </w:pPr>
    </w:p>
    <w:p w:rsidR="00DF1427" w:rsidRDefault="00DF1427" w:rsidP="00DF1427">
      <w:pPr>
        <w:rPr>
          <w:color w:val="FF0000"/>
        </w:rPr>
      </w:pPr>
    </w:p>
    <w:p w:rsidR="00122895" w:rsidRDefault="00122895" w:rsidP="00DF1427">
      <w:pPr>
        <w:rPr>
          <w:color w:val="FF0000"/>
        </w:rPr>
        <w:sectPr w:rsidR="00122895" w:rsidSect="00DF14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F1427" w:rsidRPr="00DF1427" w:rsidRDefault="00DF1427" w:rsidP="00DF1427">
      <w:pPr>
        <w:rPr>
          <w:color w:val="FF0000"/>
        </w:rPr>
      </w:pPr>
    </w:p>
    <w:p w:rsidR="00F832C1" w:rsidRPr="00372FA0" w:rsidRDefault="00F832C1">
      <w:pPr>
        <w:rPr>
          <w:color w:val="FF0000"/>
        </w:rPr>
      </w:pPr>
    </w:p>
    <w:sectPr w:rsidR="00F832C1" w:rsidRPr="00372FA0" w:rsidSect="00DF14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8CF6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3F"/>
    <w:rsid w:val="00010B37"/>
    <w:rsid w:val="00015281"/>
    <w:rsid w:val="00026A22"/>
    <w:rsid w:val="00042C65"/>
    <w:rsid w:val="00066FC2"/>
    <w:rsid w:val="00097DA1"/>
    <w:rsid w:val="00122895"/>
    <w:rsid w:val="001861FD"/>
    <w:rsid w:val="0019774D"/>
    <w:rsid w:val="001C277D"/>
    <w:rsid w:val="001C3A6F"/>
    <w:rsid w:val="001F23F9"/>
    <w:rsid w:val="0020656C"/>
    <w:rsid w:val="003726CA"/>
    <w:rsid w:val="00372FA0"/>
    <w:rsid w:val="0037520B"/>
    <w:rsid w:val="0038110F"/>
    <w:rsid w:val="00382652"/>
    <w:rsid w:val="003B128D"/>
    <w:rsid w:val="004042BD"/>
    <w:rsid w:val="004145F7"/>
    <w:rsid w:val="004159BA"/>
    <w:rsid w:val="005463A7"/>
    <w:rsid w:val="00570149"/>
    <w:rsid w:val="00605B4D"/>
    <w:rsid w:val="00630AE9"/>
    <w:rsid w:val="00673417"/>
    <w:rsid w:val="006F104C"/>
    <w:rsid w:val="0076605A"/>
    <w:rsid w:val="00776EEB"/>
    <w:rsid w:val="007D3158"/>
    <w:rsid w:val="009414CD"/>
    <w:rsid w:val="009C6DB6"/>
    <w:rsid w:val="009E011D"/>
    <w:rsid w:val="009F003D"/>
    <w:rsid w:val="00A562A1"/>
    <w:rsid w:val="00AC4AD1"/>
    <w:rsid w:val="00B32D79"/>
    <w:rsid w:val="00B420F1"/>
    <w:rsid w:val="00B77227"/>
    <w:rsid w:val="00BA2E4A"/>
    <w:rsid w:val="00C071D0"/>
    <w:rsid w:val="00CB3D11"/>
    <w:rsid w:val="00D42208"/>
    <w:rsid w:val="00D4423F"/>
    <w:rsid w:val="00D5758A"/>
    <w:rsid w:val="00D8554A"/>
    <w:rsid w:val="00DA34A5"/>
    <w:rsid w:val="00DC6A1E"/>
    <w:rsid w:val="00DF1427"/>
    <w:rsid w:val="00DF75AE"/>
    <w:rsid w:val="00E63AB5"/>
    <w:rsid w:val="00E64E88"/>
    <w:rsid w:val="00E71E95"/>
    <w:rsid w:val="00EA104D"/>
    <w:rsid w:val="00F61F85"/>
    <w:rsid w:val="00F832C1"/>
    <w:rsid w:val="00FD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2</cp:revision>
  <dcterms:created xsi:type="dcterms:W3CDTF">2017-01-07T17:05:00Z</dcterms:created>
  <dcterms:modified xsi:type="dcterms:W3CDTF">2017-01-07T17:05:00Z</dcterms:modified>
</cp:coreProperties>
</file>