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OmniRetail Returns &amp; Reimbursement Policy Manual</w:t>
      </w:r>
    </w:p>
    <w:p>
      <w:pPr>
        <w:jc w:val="center"/>
      </w:pPr>
      <w:r>
        <w:rPr>
          <w:b/>
          <w:sz w:val="21"/>
        </w:rPr>
        <w:t>Document ID: ORR-POL-001  |  Version: 1.4  |  Status: ACTIVE  |  Effective: 2026-03-01</w:t>
      </w:r>
    </w:p>
    <w:p>
      <w:pPr>
        <w:jc w:val="center"/>
      </w:pPr>
      <w:r>
        <w:rPr>
          <w:i/>
        </w:rPr>
        <w:t>Supersedes: ORR-POL-001 v1.3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Owner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Global Post-Purchase Operations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Approvers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Director of CX Ops; Regional Compliance Lead; Finance Control Manager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Intended use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Operational policy for refund / return / replacement / reimbursement decisions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AI test value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Contains rules, thresholds, exceptions, references, and supersession metadata</w:t>
            </w:r>
          </w:p>
        </w:tc>
      </w:tr>
    </w:tbl>
    <w:p/>
    <w:p>
      <w:pPr>
        <w:pStyle w:val="Heading1"/>
      </w:pPr>
      <w:r>
        <w:t>1. Purpose and Scope</w:t>
      </w:r>
    </w:p>
    <w:p>
      <w:pPr>
        <w:spacing w:after="100"/>
      </w:pPr>
      <w:r>
        <w:t>OmniRetail Returns &amp; Reimbursement (ORR) governs post-purchase return, refund, replacement, goodwill credit, and reimbursement decisions for physical goods sold through e-commerce, marketplace, and store-assisted channels.</w:t>
      </w:r>
    </w:p>
    <w:p>
      <w:pPr>
        <w:spacing w:after="100"/>
      </w:pPr>
      <w:r>
        <w:t>This policy applies to all customer-originated return requests, courier-damaged shipments, fraud-screened disputes, cross-border replacement requests, and finance-approved reimbursement adjustments processed by centralized operations or regional service centers.</w:t>
      </w:r>
    </w:p>
    <w:p>
      <w:pPr>
        <w:spacing w:after="100"/>
      </w:pPr>
      <w:r>
        <w:t>The document is intended to stress-test enterprise document ingestion and retrieval systems by including layered rules, structured tables, exceptions, ownership boundaries, and supersession notes.</w:t>
      </w:r>
    </w:p>
    <w:p>
      <w:pPr>
        <w:pStyle w:val="Heading1"/>
      </w:pPr>
      <w:r>
        <w:t>2. Definitions</w:t>
      </w:r>
    </w:p>
    <w:p>
      <w:pPr>
        <w:spacing w:after="100"/>
      </w:pPr>
      <w:r>
        <w:t>Request Received Time (RRT): the timestamp when a case first enters the claims platform with a valid channel identifier.</w:t>
      </w:r>
    </w:p>
    <w:p>
      <w:pPr>
        <w:spacing w:after="100"/>
      </w:pPr>
      <w:r>
        <w:t>Commercial Invoice Value (CIV): the line-item unit value before promotional discount recovery and before loyalty-credit offset.</w:t>
      </w:r>
    </w:p>
    <w:p>
      <w:pPr>
        <w:spacing w:after="100"/>
      </w:pPr>
      <w:r>
        <w:t>Verified Damage: damage supported by photo evidence, warehouse inspection, or carrier exception event.</w:t>
      </w:r>
    </w:p>
    <w:p>
      <w:pPr>
        <w:spacing w:after="100"/>
      </w:pPr>
      <w:r>
        <w:t>High-Risk Claim: a request that matches one or more fraud indicators, including repeated missing-item pattern, account mismatch, velocity alert, or altered proof artifact.</w:t>
      </w:r>
    </w:p>
    <w:p>
      <w:pPr>
        <w:pStyle w:val="Heading1"/>
      </w:pPr>
      <w:r>
        <w:t>3. Policy Principles</w:t>
      </w:r>
    </w:p>
    <w:p>
      <w:pPr>
        <w:spacing w:after="100"/>
      </w:pPr>
      <w:r>
        <w:t>Policy intent is to maximize consistency, protect margin, and preserve customer trust.</w:t>
      </w:r>
    </w:p>
    <w:p>
      <w:pPr>
        <w:spacing w:after="100"/>
      </w:pPr>
      <w:r>
        <w:t>Default decisioning must prefer the least costly customer-safe resolution that complies with legal obligations, product safety restrictions, and regional consumer rules.</w:t>
      </w:r>
    </w:p>
    <w:p>
      <w:pPr>
        <w:spacing w:after="100"/>
      </w:pPr>
      <w:r>
        <w:t>No agent may override a fraud hold, export control hold, or safety quarantine without approval from the designated control owner.</w:t>
      </w:r>
    </w:p>
    <w:p>
      <w:pPr>
        <w:spacing w:after="100"/>
      </w:pPr>
      <w:r>
        <w:t>Rules in approved regional override documents supersede global defaults only for the stated region and effective period.</w:t>
      </w:r>
    </w:p>
    <w:p>
      <w:pPr>
        <w:pStyle w:val="Heading1"/>
      </w:pPr>
      <w:r>
        <w:t>4. Eligibility Rules</w:t>
      </w:r>
    </w:p>
    <w:p>
      <w:pPr>
        <w:spacing w:after="100"/>
      </w:pPr>
      <w:r>
        <w:t>Standard consumer products are return-eligible within 30 calendar days from delivered date when item condition is unopened or lightly used and all required components are present.</w:t>
      </w:r>
    </w:p>
    <w:p>
      <w:pPr>
        <w:spacing w:after="100"/>
      </w:pPr>
      <w:r>
        <w:t>Premium members receive a 45-calendar-day return window for categories marked PREMIUM_EXTEND=Y in the product master.</w:t>
      </w:r>
    </w:p>
    <w:p>
      <w:pPr>
        <w:spacing w:after="100"/>
      </w:pPr>
      <w:r>
        <w:t>Opened software, downloadable activation codes, personalized goods, intimate wear, and hazardous materials are non-returnable unless local law requires remedy or the shipment arrived defective.</w:t>
      </w:r>
    </w:p>
    <w:p>
      <w:pPr>
        <w:spacing w:after="100"/>
      </w:pPr>
      <w:r>
        <w:t>Replacement may be offered instead of refund when inventory is available, the item is not restricted, and the original payment method is older than 120 days.</w:t>
      </w:r>
    </w:p>
    <w:p>
      <w:pPr>
        <w:spacing w:after="100"/>
      </w:pPr>
      <w:r>
        <w:t>Items flagged FINAL_SALE=Y in the SKU master are non-returnable unless defective on arrival, materially mis-shipped, or regionally protected.</w:t>
      </w:r>
    </w:p>
    <w:p>
      <w:pPr>
        <w:pStyle w:val="Heading1"/>
      </w:pPr>
      <w:r>
        <w:t>5. Evidence Requirements</w:t>
      </w:r>
    </w:p>
    <w:p>
      <w:pPr>
        <w:spacing w:after="100"/>
      </w:pPr>
      <w:r>
        <w:t>For 'damaged on arrival' cases, at least two photos are required: one package-level image and one product-level image.</w:t>
      </w:r>
    </w:p>
    <w:p>
      <w:pPr>
        <w:spacing w:after="100"/>
      </w:pPr>
      <w:r>
        <w:t>For 'missing component' cases, customers must identify the absent component from the bill-of-materials short description when such list exists in the product content service.</w:t>
      </w:r>
    </w:p>
    <w:p>
      <w:pPr>
        <w:spacing w:after="100"/>
      </w:pPr>
      <w:r>
        <w:t>For value above USD 500 equivalent, one of the following is mandatory before refund approval: warehouse inspection, carrier claim acceptance, or supervisor sign-off with rationale.</w:t>
      </w:r>
    </w:p>
    <w:p>
      <w:pPr>
        <w:spacing w:after="100"/>
      </w:pPr>
      <w:r>
        <w:t>Bank-transfer reimbursement requests require account holder name match at 85 percent or above using fuzzy-match service unless Finance manually approves an exception.</w:t>
      </w:r>
    </w:p>
    <w:p>
      <w:pPr>
        <w:pStyle w:val="Heading1"/>
      </w:pPr>
      <w:r>
        <w:t>6. Routing and Ownership</w:t>
      </w:r>
    </w:p>
    <w:p>
      <w:pPr>
        <w:spacing w:after="100"/>
      </w:pPr>
      <w:r>
        <w:t>Tier 1 support may approve refunds up to USD 80 equivalent when no fraud signal is present and evidence completeness is satisfied.</w:t>
      </w:r>
    </w:p>
    <w:p>
      <w:pPr>
        <w:spacing w:after="100"/>
      </w:pPr>
      <w:r>
        <w:t>Tier 2 operations may approve refunds up to USD 300 equivalent, replacements up to USD 600 equivalent, and goodwill credits up to USD 50 equivalent.</w:t>
      </w:r>
    </w:p>
    <w:p>
      <w:pPr>
        <w:spacing w:after="100"/>
      </w:pPr>
      <w:r>
        <w:t>Finance approval is required for manual reimbursement to a payment destination that differs from the captured payment instrument.</w:t>
      </w:r>
    </w:p>
    <w:p>
      <w:pPr>
        <w:spacing w:after="100"/>
      </w:pPr>
      <w:r>
        <w:t>Risk approval is required for any case with more than one high-risk claim signal even if the monetary value is below normal thresholds.</w:t>
      </w:r>
    </w:p>
    <w:p>
      <w:pPr>
        <w:pStyle w:val="Heading1"/>
      </w:pPr>
      <w:r>
        <w:t>7. Decision Matrix</w:t>
      </w:r>
    </w:p>
    <w:p>
      <w:pPr>
        <w:spacing w:after="100"/>
      </w:pPr>
      <w:r>
        <w:t>If item is return-eligible, evidence is complete, and inventory is available, preferred resolution order is: replacement, refund to original tender, store credit, manual reimbursement.</w:t>
      </w:r>
    </w:p>
    <w:p>
      <w:pPr>
        <w:spacing w:after="100"/>
      </w:pPr>
      <w:r>
        <w:t>If item is non-returnable but defective and within defect warranty, preferred resolution order is: replacement part, replacement item, repair referral, refund exception.</w:t>
      </w:r>
    </w:p>
    <w:p>
      <w:pPr>
        <w:spacing w:after="100"/>
      </w:pPr>
      <w:r>
        <w:t>If shipment is marked lost by carrier and no proof of delivery exists, refund may proceed without product return after carrier waiting period closes.</w:t>
      </w:r>
    </w:p>
    <w:p>
      <w:pPr>
        <w:spacing w:after="100"/>
      </w:pPr>
      <w:r>
        <w:t>If package shows delivered and customer claims non-receipt, case must enter investigation status unless porch-theft waiver is allowed by region.</w:t>
      </w:r>
    </w:p>
    <w:p>
      <w:pPr>
        <w:pStyle w:val="Heading1"/>
      </w:pPr>
      <w:r>
        <w:t>8. Financial Controls</w:t>
      </w:r>
    </w:p>
    <w:p>
      <w:pPr>
        <w:spacing w:after="100"/>
      </w:pPr>
      <w:r>
        <w:t>Refund amount must equal net paid amount plus tax actually collected minus non-refundable service fees, unless prohibited by law.</w:t>
      </w:r>
    </w:p>
    <w:p>
      <w:pPr>
        <w:spacing w:after="100"/>
      </w:pPr>
      <w:r>
        <w:t>Outbound shipping is refundable only when issue category is seller_fault, carrier_damage, duplicate_order, or legal_withdrawal.</w:t>
      </w:r>
    </w:p>
    <w:p>
      <w:pPr>
        <w:spacing w:after="100"/>
      </w:pPr>
      <w:r>
        <w:t>Return shipping is merchant-paid when defect, damage, mis-ship, or regulated recall is confirmed; otherwise customer-paid unless loyalty tier policy says otherwise.</w:t>
      </w:r>
    </w:p>
    <w:p>
      <w:pPr>
        <w:spacing w:after="100"/>
      </w:pPr>
      <w:r>
        <w:t>Goodwill credit does not replace a legal right to refund and must be recorded with reason_code and approver_id.</w:t>
      </w:r>
    </w:p>
    <w:p>
      <w:pPr>
        <w:pStyle w:val="Heading1"/>
      </w:pPr>
      <w:r>
        <w:t>9. Fraud and Abuse Controls</w:t>
      </w:r>
    </w:p>
    <w:p>
      <w:pPr>
        <w:spacing w:after="100"/>
      </w:pPr>
      <w:r>
        <w:t>Cases with three or more approved claims in 90 days for the same payment identity must be auto-routed to Risk Review.</w:t>
      </w:r>
    </w:p>
    <w:p>
      <w:pPr>
        <w:spacing w:after="100"/>
      </w:pPr>
      <w:r>
        <w:t>Any edited receipt or metadata mismatch between EXIF capture time and submission time above 72 hours requires manual review.</w:t>
      </w:r>
    </w:p>
    <w:p>
      <w:pPr>
        <w:spacing w:after="100"/>
      </w:pPr>
      <w:r>
        <w:t>Repeat claims against serial-numbered products must match previously sold serial or warehouse fulfillment lot where available.</w:t>
      </w:r>
    </w:p>
    <w:p>
      <w:pPr>
        <w:spacing w:after="100"/>
      </w:pPr>
      <w:r>
        <w:t>Agents must not disclose fraud scoring rules to customers.</w:t>
      </w:r>
    </w:p>
    <w:p>
      <w:pPr>
        <w:pStyle w:val="Heading1"/>
      </w:pPr>
      <w:r>
        <w:t>10. SLA Rules</w:t>
      </w:r>
    </w:p>
    <w:p>
      <w:pPr>
        <w:spacing w:after="100"/>
      </w:pPr>
      <w:r>
        <w:t>Initial response SLA is 4 business hours for Premium, 8 business hours for Standard, and next business day for marketplace-serviced orders.</w:t>
      </w:r>
    </w:p>
    <w:p>
      <w:pPr>
        <w:spacing w:after="100"/>
      </w:pPr>
      <w:r>
        <w:t>Decision SLA is 2 business days when evidence is complete; clock pauses while waiting for customer evidence or carrier investigation outcome.</w:t>
      </w:r>
    </w:p>
    <w:p>
      <w:pPr>
        <w:spacing w:after="100"/>
      </w:pPr>
      <w:r>
        <w:t>Finance reimbursement execution SLA is 3 business days after final approval and verified payee validation.</w:t>
      </w:r>
    </w:p>
    <w:p>
      <w:pPr>
        <w:spacing w:after="100"/>
      </w:pPr>
      <w:r>
        <w:t>Safety or recall related cases must be handled with priority regardless of membership tier.</w:t>
      </w:r>
    </w:p>
    <w:p>
      <w:pPr>
        <w:pStyle w:val="Heading1"/>
      </w:pPr>
      <w:r>
        <w:t>11. Regional Overrides Reference</w:t>
      </w:r>
    </w:p>
    <w:p>
      <w:pPr>
        <w:spacing w:after="100"/>
      </w:pPr>
      <w:r>
        <w:t>EU, UK, SG, VN, and UAE have regional override documents that may extend cooling-off windows, alter proof requirements, or restrict certain resolution types.</w:t>
      </w:r>
    </w:p>
    <w:p>
      <w:pPr>
        <w:spacing w:after="100"/>
      </w:pPr>
      <w:r>
        <w:t>When a regional override conflicts with this global policy, the regional override prevails for that region during the stated effective period.</w:t>
      </w:r>
    </w:p>
    <w:p>
      <w:pPr>
        <w:spacing w:after="100"/>
      </w:pPr>
      <w:r>
        <w:t>If multiple regional documents exist, the latest approved version with status='ACTIVE' prevails.</w:t>
      </w:r>
    </w:p>
    <w:p>
      <w:pPr>
        <w:pStyle w:val="Heading1"/>
      </w:pPr>
      <w:r>
        <w:t>12. Audit and Retention</w:t>
      </w:r>
    </w:p>
    <w:p>
      <w:pPr>
        <w:spacing w:after="100"/>
      </w:pPr>
      <w:r>
        <w:t>Decision rationale, evidence checklist, rule version, and approver chain must be retained for 24 months.</w:t>
      </w:r>
    </w:p>
    <w:p>
      <w:pPr>
        <w:spacing w:after="100"/>
      </w:pPr>
      <w:r>
        <w:t>Payment redirection approvals require retention for 36 months.</w:t>
      </w:r>
    </w:p>
    <w:p>
      <w:pPr>
        <w:spacing w:after="100"/>
      </w:pPr>
      <w:r>
        <w:t>PII extraction should be minimized in downstream AI summaries; generated outputs must reference source section IDs instead of copying full personal data.</w:t>
      </w:r>
    </w:p>
    <w:p>
      <w:pPr>
        <w:pStyle w:val="Heading1"/>
      </w:pPr>
      <w:r>
        <w:t>Appendix A. Approval Threshold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Threshold (USD eq.)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Conditions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Tier 1 Support</w:t>
            </w:r>
          </w:p>
        </w:tc>
        <w:tc>
          <w:tcPr>
            <w:tcW w:type="dxa" w:w="2484"/>
            <w:vAlign w:val="center"/>
          </w:tcPr>
          <w:p>
            <w:r>
              <w:t>Refund</w:t>
            </w:r>
          </w:p>
        </w:tc>
        <w:tc>
          <w:tcPr>
            <w:tcW w:type="dxa" w:w="2484"/>
            <w:vAlign w:val="center"/>
          </w:tcPr>
          <w:p>
            <w:r>
              <w:t>Up to 80</w:t>
            </w:r>
          </w:p>
        </w:tc>
        <w:tc>
          <w:tcPr>
            <w:tcW w:type="dxa" w:w="2484"/>
            <w:vAlign w:val="center"/>
          </w:tcPr>
          <w:p>
            <w:r>
              <w:t>No fraud signal; complete evidence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Tier 2 Operations</w:t>
            </w:r>
          </w:p>
        </w:tc>
        <w:tc>
          <w:tcPr>
            <w:tcW w:type="dxa" w:w="2484"/>
            <w:vAlign w:val="center"/>
          </w:tcPr>
          <w:p>
            <w:r>
              <w:t>Refund</w:t>
            </w:r>
          </w:p>
        </w:tc>
        <w:tc>
          <w:tcPr>
            <w:tcW w:type="dxa" w:w="2484"/>
            <w:vAlign w:val="center"/>
          </w:tcPr>
          <w:p>
            <w:r>
              <w:t>Up to 300</w:t>
            </w:r>
          </w:p>
        </w:tc>
        <w:tc>
          <w:tcPr>
            <w:tcW w:type="dxa" w:w="2484"/>
            <w:vAlign w:val="center"/>
          </w:tcPr>
          <w:p>
            <w:r>
              <w:t>No pending finance or risk hold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Tier 2 Operations</w:t>
            </w:r>
          </w:p>
        </w:tc>
        <w:tc>
          <w:tcPr>
            <w:tcW w:type="dxa" w:w="2484"/>
            <w:vAlign w:val="center"/>
          </w:tcPr>
          <w:p>
            <w:r>
              <w:t>Replacement</w:t>
            </w:r>
          </w:p>
        </w:tc>
        <w:tc>
          <w:tcPr>
            <w:tcW w:type="dxa" w:w="2484"/>
            <w:vAlign w:val="center"/>
          </w:tcPr>
          <w:p>
            <w:r>
              <w:t>Up to 600</w:t>
            </w:r>
          </w:p>
        </w:tc>
        <w:tc>
          <w:tcPr>
            <w:tcW w:type="dxa" w:w="2484"/>
            <w:vAlign w:val="center"/>
          </w:tcPr>
          <w:p>
            <w:r>
              <w:t>Inventory available; item not restricted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Finance</w:t>
            </w:r>
          </w:p>
        </w:tc>
        <w:tc>
          <w:tcPr>
            <w:tcW w:type="dxa" w:w="2484"/>
            <w:vAlign w:val="center"/>
          </w:tcPr>
          <w:p>
            <w:r>
              <w:t>Manual reimbursement</w:t>
            </w:r>
          </w:p>
        </w:tc>
        <w:tc>
          <w:tcPr>
            <w:tcW w:type="dxa" w:w="2484"/>
            <w:vAlign w:val="center"/>
          </w:tcPr>
          <w:p>
            <w:r>
              <w:t>Any amount</w:t>
            </w:r>
          </w:p>
        </w:tc>
        <w:tc>
          <w:tcPr>
            <w:tcW w:type="dxa" w:w="2484"/>
            <w:vAlign w:val="center"/>
          </w:tcPr>
          <w:p>
            <w:r>
              <w:t>Different payment destination or bank transfer</w:t>
            </w:r>
          </w:p>
        </w:tc>
      </w:tr>
      <w:tr>
        <w:tc>
          <w:tcPr>
            <w:tcW w:type="dxa" w:w="2484"/>
            <w:vAlign w:val="center"/>
          </w:tcPr>
          <w:p>
            <w:r>
              <w:t>Risk</w:t>
            </w:r>
          </w:p>
        </w:tc>
        <w:tc>
          <w:tcPr>
            <w:tcW w:type="dxa" w:w="2484"/>
            <w:vAlign w:val="center"/>
          </w:tcPr>
          <w:p>
            <w:r>
              <w:t>Any monetary action</w:t>
            </w:r>
          </w:p>
        </w:tc>
        <w:tc>
          <w:tcPr>
            <w:tcW w:type="dxa" w:w="2484"/>
            <w:vAlign w:val="center"/>
          </w:tcPr>
          <w:p>
            <w:r>
              <w:t>Any amount</w:t>
            </w:r>
          </w:p>
        </w:tc>
        <w:tc>
          <w:tcPr>
            <w:tcW w:type="dxa" w:w="2484"/>
            <w:vAlign w:val="center"/>
          </w:tcPr>
          <w:p>
            <w:r>
              <w:t>Two or more risk signals or special handling flag</w:t>
            </w:r>
          </w:p>
        </w:tc>
      </w:tr>
    </w:tbl>
    <w:p/>
    <w:p>
      <w:pPr>
        <w:pStyle w:val="Heading1"/>
      </w:pPr>
      <w:r>
        <w:t>Appendix B. Category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Returnable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Replaceable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84"/>
            <w:vAlign w:val="center"/>
          </w:tcPr>
          <w:p>
            <w:r>
              <w:t>Software activation code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Defective or legally required</w:t>
            </w:r>
          </w:p>
        </w:tc>
      </w:tr>
      <w:tr>
        <w:tc>
          <w:tcPr>
            <w:tcW w:type="dxa" w:w="2484"/>
            <w:vAlign w:val="center"/>
          </w:tcPr>
          <w:p>
            <w:r>
              <w:t>Perishable grocery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Damage or food safety issue</w:t>
            </w:r>
          </w:p>
        </w:tc>
      </w:tr>
      <w:tr>
        <w:tc>
          <w:tcPr>
            <w:tcW w:type="dxa" w:w="2484"/>
            <w:vAlign w:val="center"/>
          </w:tcPr>
          <w:p>
            <w:r>
              <w:t>Hazmat battery pack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Conditional</w:t>
            </w:r>
          </w:p>
        </w:tc>
        <w:tc>
          <w:tcPr>
            <w:tcW w:type="dxa" w:w="2484"/>
            <w:vAlign w:val="center"/>
          </w:tcPr>
          <w:p>
            <w:r>
              <w:t>Only approved carrier flow</w:t>
            </w:r>
          </w:p>
        </w:tc>
      </w:tr>
      <w:tr>
        <w:tc>
          <w:tcPr>
            <w:tcW w:type="dxa" w:w="2484"/>
            <w:vAlign w:val="center"/>
          </w:tcPr>
          <w:p>
            <w:r>
              <w:t>Custom engraved product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Manufacturing defect only</w:t>
            </w:r>
          </w:p>
        </w:tc>
      </w:tr>
      <w:tr>
        <w:tc>
          <w:tcPr>
            <w:tcW w:type="dxa" w:w="2484"/>
            <w:vAlign w:val="center"/>
          </w:tcPr>
          <w:p>
            <w:r>
              <w:t>Standard electronics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Evidence rules apply</w:t>
            </w:r>
          </w:p>
        </w:tc>
      </w:tr>
      <w:tr>
        <w:tc>
          <w:tcPr>
            <w:tcW w:type="dxa" w:w="2484"/>
            <w:vAlign w:val="center"/>
          </w:tcPr>
          <w:p>
            <w:r>
              <w:t>Final sale apparel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Defect, mis-ship, legal withdrawal</w:t>
            </w:r>
          </w:p>
        </w:tc>
      </w:tr>
    </w:tbl>
    <w:p/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F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3F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