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3DAFF" w14:textId="6F615C76" w:rsidR="00BE0176" w:rsidRPr="00D74354" w:rsidRDefault="00622794">
      <w:pPr>
        <w:rPr>
          <w:b/>
          <w:bCs/>
          <w:sz w:val="24"/>
          <w:szCs w:val="24"/>
        </w:rPr>
      </w:pPr>
      <w:proofErr w:type="spellStart"/>
      <w:r w:rsidRPr="00D74354">
        <w:rPr>
          <w:b/>
          <w:bCs/>
          <w:sz w:val="24"/>
          <w:szCs w:val="24"/>
        </w:rPr>
        <w:t>OpenFLUX</w:t>
      </w:r>
      <w:proofErr w:type="spellEnd"/>
      <w:r w:rsidR="00B53287" w:rsidRPr="00D74354">
        <w:rPr>
          <w:b/>
          <w:bCs/>
          <w:sz w:val="24"/>
          <w:szCs w:val="24"/>
        </w:rPr>
        <w:t xml:space="preserve"> 2019</w:t>
      </w:r>
      <w:r w:rsidR="00734F56" w:rsidRPr="00D74354">
        <w:rPr>
          <w:b/>
          <w:bCs/>
          <w:sz w:val="24"/>
          <w:szCs w:val="24"/>
        </w:rPr>
        <w:t xml:space="preserve"> (</w:t>
      </w:r>
      <w:r w:rsidR="00734F56" w:rsidRPr="00D74354">
        <w:rPr>
          <w:b/>
          <w:bCs/>
          <w:sz w:val="24"/>
          <w:szCs w:val="24"/>
          <w:highlight w:val="yellow"/>
        </w:rPr>
        <w:t>DRAFTING IN PROGRESS</w:t>
      </w:r>
      <w:r w:rsidR="00734F56" w:rsidRPr="00D74354">
        <w:rPr>
          <w:b/>
          <w:bCs/>
          <w:sz w:val="24"/>
          <w:szCs w:val="24"/>
        </w:rPr>
        <w:t>)</w:t>
      </w:r>
    </w:p>
    <w:p w14:paraId="45A7BE65" w14:textId="4C651DBA" w:rsidR="00622794" w:rsidRPr="00EB2E80" w:rsidRDefault="00622794">
      <w:pPr>
        <w:rPr>
          <w:sz w:val="24"/>
          <w:szCs w:val="24"/>
        </w:rPr>
      </w:pPr>
      <w:r w:rsidRPr="00EB2E80">
        <w:rPr>
          <w:sz w:val="24"/>
          <w:szCs w:val="24"/>
        </w:rPr>
        <w:t>A MATLAB-based application to perform steady-state and dynamic 13C-MFA</w:t>
      </w:r>
      <w:r w:rsidR="00227E5E">
        <w:rPr>
          <w:sz w:val="24"/>
          <w:szCs w:val="24"/>
        </w:rPr>
        <w:t xml:space="preserve"> based on the EMU framework</w:t>
      </w:r>
      <w:r w:rsidRPr="00EB2E80">
        <w:rPr>
          <w:sz w:val="24"/>
          <w:szCs w:val="24"/>
        </w:rPr>
        <w:t>.</w:t>
      </w:r>
      <w:r w:rsidR="00704A66" w:rsidRPr="00EB2E80">
        <w:rPr>
          <w:sz w:val="24"/>
          <w:szCs w:val="24"/>
        </w:rPr>
        <w:t xml:space="preserve"> The application facilitates the inference of metabolic pathway activities from 13C enrichment data </w:t>
      </w:r>
      <w:r w:rsidR="00227E5E">
        <w:rPr>
          <w:sz w:val="24"/>
          <w:szCs w:val="24"/>
        </w:rPr>
        <w:t xml:space="preserve">(mass </w:t>
      </w:r>
      <w:proofErr w:type="spellStart"/>
      <w:r w:rsidR="00227E5E">
        <w:rPr>
          <w:sz w:val="24"/>
          <w:szCs w:val="24"/>
        </w:rPr>
        <w:t>isotopologues</w:t>
      </w:r>
      <w:proofErr w:type="spellEnd"/>
      <w:r w:rsidR="00227E5E">
        <w:rPr>
          <w:sz w:val="24"/>
          <w:szCs w:val="24"/>
        </w:rPr>
        <w:t xml:space="preserve">) </w:t>
      </w:r>
      <w:r w:rsidR="00704A66" w:rsidRPr="00EB2E80">
        <w:rPr>
          <w:sz w:val="24"/>
          <w:szCs w:val="24"/>
        </w:rPr>
        <w:t>using simple text</w:t>
      </w:r>
      <w:r w:rsidR="002E78EB" w:rsidRPr="00EB2E80">
        <w:rPr>
          <w:sz w:val="24"/>
          <w:szCs w:val="24"/>
        </w:rPr>
        <w:t xml:space="preserve"> inputs</w:t>
      </w:r>
      <w:r w:rsidR="00704A66" w:rsidRPr="00EB2E80">
        <w:rPr>
          <w:sz w:val="24"/>
          <w:szCs w:val="24"/>
        </w:rPr>
        <w:t xml:space="preserve"> and scripting interfaces.</w:t>
      </w:r>
      <w:r w:rsidR="00052676" w:rsidRPr="00EB2E80">
        <w:rPr>
          <w:sz w:val="24"/>
          <w:szCs w:val="24"/>
        </w:rPr>
        <w:t xml:space="preserve"> Each object of the </w:t>
      </w:r>
      <w:proofErr w:type="spellStart"/>
      <w:r w:rsidR="00052676" w:rsidRPr="00EB2E80">
        <w:rPr>
          <w:sz w:val="24"/>
          <w:szCs w:val="24"/>
        </w:rPr>
        <w:t>OpenFLUX</w:t>
      </w:r>
      <w:proofErr w:type="spellEnd"/>
      <w:r w:rsidR="00052676" w:rsidRPr="00EB2E80">
        <w:rPr>
          <w:sz w:val="24"/>
          <w:szCs w:val="24"/>
        </w:rPr>
        <w:t xml:space="preserve"> class encapsulates data, model and allowable operations, and is designed to be self-contained/portable.</w:t>
      </w:r>
    </w:p>
    <w:p w14:paraId="428D323B" w14:textId="5F4E7671" w:rsidR="00622794" w:rsidRPr="00EB2E80" w:rsidRDefault="00622794">
      <w:pPr>
        <w:rPr>
          <w:sz w:val="24"/>
          <w:szCs w:val="24"/>
        </w:rPr>
      </w:pPr>
      <w:r w:rsidRPr="00EB2E80">
        <w:rPr>
          <w:sz w:val="24"/>
          <w:szCs w:val="24"/>
        </w:rPr>
        <w:t>Author: Lake-Ee Quek</w:t>
      </w:r>
    </w:p>
    <w:p w14:paraId="6022B221" w14:textId="6D3097A8" w:rsidR="00622794" w:rsidRPr="00EB2E80" w:rsidRDefault="00622794">
      <w:pPr>
        <w:rPr>
          <w:sz w:val="24"/>
          <w:szCs w:val="24"/>
        </w:rPr>
      </w:pPr>
      <w:r w:rsidRPr="00EB2E80">
        <w:rPr>
          <w:sz w:val="24"/>
          <w:szCs w:val="24"/>
        </w:rPr>
        <w:t xml:space="preserve">Email: </w:t>
      </w:r>
      <w:hyperlink r:id="rId5" w:history="1">
        <w:r w:rsidRPr="00EB2E80">
          <w:rPr>
            <w:rStyle w:val="Hyperlink"/>
            <w:sz w:val="24"/>
            <w:szCs w:val="24"/>
          </w:rPr>
          <w:t>lake-ee.quek@sydney.edu.au</w:t>
        </w:r>
      </w:hyperlink>
    </w:p>
    <w:p w14:paraId="6C0094DD" w14:textId="423DE147" w:rsidR="002E78EB" w:rsidRPr="00EB2E80" w:rsidRDefault="009E326C">
      <w:pPr>
        <w:rPr>
          <w:sz w:val="24"/>
          <w:szCs w:val="24"/>
        </w:rPr>
      </w:pPr>
      <w:r>
        <w:rPr>
          <w:sz w:val="24"/>
          <w:szCs w:val="24"/>
        </w:rPr>
        <w:t xml:space="preserve">Code repository: </w:t>
      </w:r>
      <w:hyperlink r:id="rId6" w:history="1">
        <w:r w:rsidRPr="003B1ECA">
          <w:rPr>
            <w:rStyle w:val="Hyperlink"/>
            <w:sz w:val="24"/>
            <w:szCs w:val="24"/>
          </w:rPr>
          <w:t>https://github.com/lakeeeq/OpenFLUX</w:t>
        </w:r>
      </w:hyperlink>
    </w:p>
    <w:p w14:paraId="18C7701C" w14:textId="5CADD4D9" w:rsidR="00805D04" w:rsidRPr="00D74354" w:rsidRDefault="00805D04">
      <w:pPr>
        <w:rPr>
          <w:b/>
          <w:bCs/>
          <w:sz w:val="24"/>
          <w:szCs w:val="24"/>
        </w:rPr>
      </w:pPr>
      <w:r w:rsidRPr="00D74354">
        <w:rPr>
          <w:b/>
          <w:bCs/>
          <w:sz w:val="24"/>
          <w:szCs w:val="24"/>
        </w:rPr>
        <w:t>Please cite:</w:t>
      </w:r>
    </w:p>
    <w:p w14:paraId="13CB6F43" w14:textId="49BE6DCA" w:rsidR="00805D04" w:rsidRDefault="00805D04" w:rsidP="00805D04">
      <w:pPr>
        <w:rPr>
          <w:sz w:val="24"/>
          <w:szCs w:val="24"/>
        </w:rPr>
      </w:pPr>
      <w:r w:rsidRPr="00805D04">
        <w:rPr>
          <w:sz w:val="24"/>
          <w:szCs w:val="24"/>
        </w:rPr>
        <w:t>Quek</w:t>
      </w:r>
      <w:r>
        <w:rPr>
          <w:sz w:val="24"/>
          <w:szCs w:val="24"/>
        </w:rPr>
        <w:t>, L.E et al (2020)</w:t>
      </w:r>
      <w:r w:rsidRPr="00805D0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05D04">
        <w:rPr>
          <w:sz w:val="24"/>
          <w:szCs w:val="24"/>
        </w:rPr>
        <w:t>Dynamic 13C flux analysis captures the reorganisation of adipocyte glucose metabolism in response to insulin,</w:t>
      </w:r>
      <w:r>
        <w:rPr>
          <w:sz w:val="24"/>
          <w:szCs w:val="24"/>
        </w:rPr>
        <w:t xml:space="preserve"> </w:t>
      </w:r>
      <w:proofErr w:type="spellStart"/>
      <w:r w:rsidRPr="00805D04">
        <w:rPr>
          <w:sz w:val="24"/>
          <w:szCs w:val="24"/>
        </w:rPr>
        <w:t>iScience</w:t>
      </w:r>
      <w:proofErr w:type="spellEnd"/>
      <w:r w:rsidRPr="00805D0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05D04">
        <w:rPr>
          <w:sz w:val="24"/>
          <w:szCs w:val="24"/>
        </w:rPr>
        <w:t>2020</w:t>
      </w:r>
      <w:r>
        <w:rPr>
          <w:sz w:val="24"/>
          <w:szCs w:val="24"/>
        </w:rPr>
        <w:t>.</w:t>
      </w:r>
    </w:p>
    <w:p w14:paraId="0F79FFD9" w14:textId="73BAB48F" w:rsidR="00805D04" w:rsidRDefault="00805D04">
      <w:pPr>
        <w:rPr>
          <w:sz w:val="24"/>
          <w:szCs w:val="24"/>
        </w:rPr>
      </w:pPr>
      <w:hyperlink r:id="rId7" w:history="1">
        <w:r w:rsidRPr="005264A0">
          <w:rPr>
            <w:rStyle w:val="Hyperlink"/>
            <w:sz w:val="24"/>
            <w:szCs w:val="24"/>
          </w:rPr>
          <w:t>http://www.sciencedirect.com/science/article/pii/S2589004220300389</w:t>
        </w:r>
      </w:hyperlink>
    </w:p>
    <w:p w14:paraId="62CE5F60" w14:textId="3624A5C2" w:rsidR="00622794" w:rsidRPr="00D74354" w:rsidRDefault="0007551E">
      <w:pPr>
        <w:rPr>
          <w:b/>
          <w:bCs/>
          <w:sz w:val="24"/>
          <w:szCs w:val="24"/>
        </w:rPr>
      </w:pPr>
      <w:r w:rsidRPr="00D74354">
        <w:rPr>
          <w:b/>
          <w:bCs/>
          <w:sz w:val="24"/>
          <w:szCs w:val="24"/>
        </w:rPr>
        <w:t>Available input and models</w:t>
      </w:r>
      <w:r w:rsidR="002E78EB" w:rsidRPr="00D74354">
        <w:rPr>
          <w:b/>
          <w:bCs/>
          <w:sz w:val="24"/>
          <w:szCs w:val="24"/>
        </w:rPr>
        <w:t>:</w:t>
      </w:r>
    </w:p>
    <w:p w14:paraId="60ADF543" w14:textId="59587972" w:rsidR="0007551E" w:rsidRPr="00457D26" w:rsidRDefault="0007551E" w:rsidP="00457D26">
      <w:pPr>
        <w:pStyle w:val="ListParagraph"/>
        <w:numPr>
          <w:ilvl w:val="0"/>
          <w:numId w:val="1"/>
        </w:numPr>
      </w:pPr>
      <w:proofErr w:type="spellStart"/>
      <w:r w:rsidRPr="00457D26">
        <w:rPr>
          <w:sz w:val="24"/>
          <w:szCs w:val="24"/>
        </w:rPr>
        <w:t>OpenFLUX</w:t>
      </w:r>
      <w:proofErr w:type="spellEnd"/>
      <w:r w:rsidRPr="00457D26">
        <w:rPr>
          <w:sz w:val="24"/>
          <w:szCs w:val="24"/>
        </w:rPr>
        <w:t xml:space="preserve"> version 2009 </w:t>
      </w:r>
      <w:r w:rsidR="000E4758" w:rsidRPr="00457D26">
        <w:rPr>
          <w:sz w:val="24"/>
          <w:szCs w:val="24"/>
        </w:rPr>
        <w:t xml:space="preserve">steady-state </w:t>
      </w:r>
      <w:r w:rsidRPr="00457D26">
        <w:rPr>
          <w:sz w:val="24"/>
          <w:szCs w:val="24"/>
        </w:rPr>
        <w:t>toy model</w:t>
      </w:r>
      <w:r w:rsidR="00457D26" w:rsidRPr="00457D26">
        <w:rPr>
          <w:sz w:val="24"/>
          <w:szCs w:val="24"/>
        </w:rPr>
        <w:t xml:space="preserve"> (</w:t>
      </w:r>
      <w:hyperlink r:id="rId8" w:tgtFrame="_blank" w:history="1">
        <w:r w:rsidR="00457D26">
          <w:rPr>
            <w:rStyle w:val="Hyperlink"/>
          </w:rPr>
          <w:t>10.1186/1475-2859-8-25</w:t>
        </w:r>
      </w:hyperlink>
      <w:r w:rsidR="00457D26">
        <w:t>)</w:t>
      </w:r>
    </w:p>
    <w:p w14:paraId="64690ED4" w14:textId="2C5109C5" w:rsidR="00FA0C89" w:rsidRPr="00FA0C89" w:rsidRDefault="00FA0C89" w:rsidP="00FA0C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E80">
        <w:rPr>
          <w:sz w:val="24"/>
          <w:szCs w:val="24"/>
        </w:rPr>
        <w:t>Steady-state toy model (</w:t>
      </w:r>
      <w:r w:rsidR="00D74354">
        <w:rPr>
          <w:sz w:val="24"/>
          <w:szCs w:val="24"/>
        </w:rPr>
        <w:t>same as</w:t>
      </w:r>
      <w:r>
        <w:rPr>
          <w:sz w:val="24"/>
          <w:szCs w:val="24"/>
        </w:rPr>
        <w:t xml:space="preserve"> </w:t>
      </w:r>
      <w:r w:rsidRPr="00EB2E80">
        <w:rPr>
          <w:sz w:val="24"/>
          <w:szCs w:val="24"/>
        </w:rPr>
        <w:t>version 2009</w:t>
      </w:r>
      <w:r w:rsidR="00D74354">
        <w:rPr>
          <w:sz w:val="24"/>
          <w:szCs w:val="24"/>
        </w:rPr>
        <w:t>, but to be implemented using this version</w:t>
      </w:r>
      <w:r w:rsidRPr="00EB2E80">
        <w:rPr>
          <w:sz w:val="24"/>
          <w:szCs w:val="24"/>
        </w:rPr>
        <w:t>)</w:t>
      </w:r>
    </w:p>
    <w:p w14:paraId="452B038D" w14:textId="385A74C1" w:rsidR="00FA0C89" w:rsidRPr="00EB2E80" w:rsidRDefault="00FA0C89" w:rsidP="00FA0C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E80">
        <w:rPr>
          <w:sz w:val="24"/>
          <w:szCs w:val="24"/>
        </w:rPr>
        <w:t>Dynamic toy model</w:t>
      </w:r>
    </w:p>
    <w:p w14:paraId="39B82435" w14:textId="32C3C40A" w:rsidR="0007551E" w:rsidRPr="00EB2E80" w:rsidRDefault="0007551E" w:rsidP="000755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E80">
        <w:rPr>
          <w:sz w:val="24"/>
          <w:szCs w:val="24"/>
        </w:rPr>
        <w:t>Adipocyte insulin response model</w:t>
      </w:r>
      <w:r w:rsidR="000E4758">
        <w:rPr>
          <w:sz w:val="24"/>
          <w:szCs w:val="24"/>
        </w:rPr>
        <w:t xml:space="preserve"> </w:t>
      </w:r>
      <w:r w:rsidR="00D74354">
        <w:rPr>
          <w:sz w:val="24"/>
          <w:szCs w:val="24"/>
        </w:rPr>
        <w:t>(manuscript)</w:t>
      </w:r>
    </w:p>
    <w:p w14:paraId="03AB52D9" w14:textId="2E36A0AD" w:rsidR="002E1A7C" w:rsidRPr="00D74354" w:rsidRDefault="002E1A7C" w:rsidP="002E1A7C">
      <w:pPr>
        <w:rPr>
          <w:b/>
          <w:bCs/>
          <w:sz w:val="24"/>
          <w:szCs w:val="24"/>
        </w:rPr>
      </w:pPr>
      <w:r w:rsidRPr="00D74354">
        <w:rPr>
          <w:b/>
          <w:bCs/>
          <w:sz w:val="24"/>
          <w:szCs w:val="24"/>
        </w:rPr>
        <w:t>Folder information</w:t>
      </w:r>
      <w:r w:rsidR="00D74354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7328"/>
      </w:tblGrid>
      <w:tr w:rsidR="002F6E8B" w14:paraId="1F85EB4A" w14:textId="77777777" w:rsidTr="00D74354">
        <w:tc>
          <w:tcPr>
            <w:tcW w:w="2527" w:type="dxa"/>
          </w:tcPr>
          <w:p w14:paraId="5E95F665" w14:textId="77777777" w:rsidR="002E1A7C" w:rsidRDefault="002E1A7C" w:rsidP="00582A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328" w:type="dxa"/>
          </w:tcPr>
          <w:p w14:paraId="3A1A56EF" w14:textId="77777777" w:rsidR="002E1A7C" w:rsidRDefault="002E1A7C" w:rsidP="00582A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</w:tr>
      <w:tr w:rsidR="00D74354" w14:paraId="411C8E04" w14:textId="77777777" w:rsidTr="00D74354">
        <w:tc>
          <w:tcPr>
            <w:tcW w:w="2527" w:type="dxa"/>
          </w:tcPr>
          <w:p w14:paraId="6FA02EE7" w14:textId="081C402E" w:rsidR="002E1A7C" w:rsidRDefault="002F6E8B" w:rsidP="00582A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inputs_adipocytes</w:t>
            </w:r>
            <w:proofErr w:type="spellEnd"/>
          </w:p>
        </w:tc>
        <w:tc>
          <w:tcPr>
            <w:tcW w:w="7328" w:type="dxa"/>
          </w:tcPr>
          <w:p w14:paraId="0C4161EF" w14:textId="6E33634B" w:rsidR="002E1A7C" w:rsidRDefault="00530310" w:rsidP="00881CA7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 w:rsidRPr="00881CA7">
              <w:rPr>
                <w:sz w:val="24"/>
                <w:szCs w:val="24"/>
              </w:rPr>
              <w:t xml:space="preserve">Input </w:t>
            </w:r>
            <w:r w:rsidRPr="00881CA7">
              <w:rPr>
                <w:sz w:val="24"/>
                <w:szCs w:val="24"/>
              </w:rPr>
              <w:t xml:space="preserve">model </w:t>
            </w:r>
            <w:r w:rsidRPr="00881CA7">
              <w:rPr>
                <w:sz w:val="24"/>
                <w:szCs w:val="24"/>
              </w:rPr>
              <w:t xml:space="preserve">(adipocytes) </w:t>
            </w:r>
            <w:r w:rsidRPr="00881CA7">
              <w:rPr>
                <w:sz w:val="24"/>
                <w:szCs w:val="24"/>
              </w:rPr>
              <w:t xml:space="preserve">and </w:t>
            </w:r>
            <w:r w:rsidRPr="00881CA7">
              <w:rPr>
                <w:sz w:val="24"/>
                <w:szCs w:val="24"/>
              </w:rPr>
              <w:t>data (control, insulin) described in the manuscript</w:t>
            </w:r>
            <w:r w:rsidR="00881CA7">
              <w:rPr>
                <w:sz w:val="24"/>
                <w:szCs w:val="24"/>
              </w:rPr>
              <w:t>.</w:t>
            </w:r>
          </w:p>
          <w:p w14:paraId="4475253D" w14:textId="40A0E29D" w:rsidR="00881CA7" w:rsidRDefault="00881CA7" w:rsidP="00881CA7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Least-square (objective) function</w:t>
            </w:r>
            <w:r w:rsidR="0084110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for ODE and SBR implementation</w:t>
            </w:r>
            <w:r w:rsidR="0084110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  <w:p w14:paraId="5F264AB9" w14:textId="77777777" w:rsidR="00881CA7" w:rsidRDefault="00881CA7" w:rsidP="00582AA8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proofErr w:type="spellStart"/>
            <w:r w:rsidRPr="00881CA7">
              <w:rPr>
                <w:rFonts w:ascii="Courier New" w:hAnsi="Courier New" w:cs="Courier New"/>
                <w:color w:val="00B0F0"/>
                <w:sz w:val="24"/>
                <w:szCs w:val="24"/>
              </w:rPr>
              <w:t>OFspec</w:t>
            </w:r>
            <w:proofErr w:type="spellEnd"/>
            <w:r w:rsidRPr="00881CA7">
              <w:rPr>
                <w:rFonts w:ascii="Courier New" w:hAnsi="Courier New" w:cs="Courier New"/>
                <w:color w:val="00B0F0"/>
                <w:sz w:val="24"/>
                <w:szCs w:val="24"/>
              </w:rPr>
              <w:t>_*.m</w:t>
            </w:r>
            <w:r>
              <w:rPr>
                <w:sz w:val="24"/>
                <w:szCs w:val="24"/>
              </w:rPr>
              <w:t xml:space="preserve"> specification </w:t>
            </w:r>
            <w:proofErr w:type="gramStart"/>
            <w:r>
              <w:rPr>
                <w:sz w:val="24"/>
                <w:szCs w:val="24"/>
              </w:rPr>
              <w:t>files;  ODE</w:t>
            </w:r>
            <w:proofErr w:type="gramEnd"/>
            <w:r>
              <w:rPr>
                <w:sz w:val="24"/>
                <w:szCs w:val="24"/>
              </w:rPr>
              <w:t xml:space="preserve"> and SBR configurations provided as separate files.</w:t>
            </w:r>
          </w:p>
          <w:p w14:paraId="6F343685" w14:textId="1D861C9A" w:rsidR="00841109" w:rsidRPr="00841109" w:rsidRDefault="00841109" w:rsidP="00582AA8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data and constraints.</w:t>
            </w:r>
          </w:p>
        </w:tc>
      </w:tr>
      <w:tr w:rsidR="002F6E8B" w14:paraId="03D0BAE5" w14:textId="77777777" w:rsidTr="00D74354">
        <w:tc>
          <w:tcPr>
            <w:tcW w:w="2527" w:type="dxa"/>
          </w:tcPr>
          <w:p w14:paraId="18689D8D" w14:textId="70810C32" w:rsidR="002F6E8B" w:rsidRDefault="002F6E8B" w:rsidP="00582A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inputs_DYNAMICtoy</w:t>
            </w:r>
            <w:proofErr w:type="spellEnd"/>
          </w:p>
        </w:tc>
        <w:tc>
          <w:tcPr>
            <w:tcW w:w="7328" w:type="dxa"/>
          </w:tcPr>
          <w:p w14:paraId="1DEA1287" w14:textId="78F898DB" w:rsidR="002F6E8B" w:rsidRDefault="00841109" w:rsidP="00841109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model (toy) and data</w:t>
            </w:r>
            <w:r w:rsidR="004C3EC8">
              <w:rPr>
                <w:sz w:val="24"/>
                <w:szCs w:val="24"/>
              </w:rPr>
              <w:t xml:space="preserve"> described in Figure 2E of manuscript.</w:t>
            </w:r>
          </w:p>
          <w:p w14:paraId="4812CD62" w14:textId="77777777" w:rsidR="00841109" w:rsidRDefault="00841109" w:rsidP="00841109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Least-square function (ODE and SBR).</w:t>
            </w:r>
          </w:p>
          <w:p w14:paraId="519D677E" w14:textId="77777777" w:rsidR="00841109" w:rsidRDefault="00841109" w:rsidP="00841109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proofErr w:type="spellStart"/>
            <w:r w:rsidRPr="00881CA7">
              <w:rPr>
                <w:rFonts w:ascii="Courier New" w:hAnsi="Courier New" w:cs="Courier New"/>
                <w:color w:val="00B0F0"/>
                <w:sz w:val="24"/>
                <w:szCs w:val="24"/>
              </w:rPr>
              <w:t>OFspec</w:t>
            </w:r>
            <w:proofErr w:type="spellEnd"/>
            <w:r w:rsidRPr="00881CA7">
              <w:rPr>
                <w:rFonts w:ascii="Courier New" w:hAnsi="Courier New" w:cs="Courier New"/>
                <w:color w:val="00B0F0"/>
                <w:sz w:val="24"/>
                <w:szCs w:val="24"/>
              </w:rPr>
              <w:t>_*.m</w:t>
            </w:r>
            <w:r>
              <w:rPr>
                <w:sz w:val="24"/>
                <w:szCs w:val="24"/>
              </w:rPr>
              <w:t xml:space="preserve"> specification </w:t>
            </w:r>
            <w:proofErr w:type="gramStart"/>
            <w:r>
              <w:rPr>
                <w:sz w:val="24"/>
                <w:szCs w:val="24"/>
              </w:rPr>
              <w:t>files;  ODE</w:t>
            </w:r>
            <w:proofErr w:type="gramEnd"/>
            <w:r>
              <w:rPr>
                <w:sz w:val="24"/>
                <w:szCs w:val="24"/>
              </w:rPr>
              <w:t xml:space="preserve"> and SBR configurations provided as separate files.</w:t>
            </w:r>
          </w:p>
          <w:p w14:paraId="0070D60F" w14:textId="69218BE7" w:rsidR="00841109" w:rsidRPr="00841109" w:rsidRDefault="00841109" w:rsidP="00841109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r>
              <w:rPr>
                <w:sz w:val="24"/>
                <w:szCs w:val="24"/>
              </w:rPr>
              <w:t>(empty</w:t>
            </w:r>
            <w:r w:rsidR="004C3EC8">
              <w:rPr>
                <w:sz w:val="24"/>
                <w:szCs w:val="24"/>
              </w:rPr>
              <w:t xml:space="preserve"> files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additional data and constraints.</w:t>
            </w:r>
          </w:p>
        </w:tc>
      </w:tr>
      <w:tr w:rsidR="002F6E8B" w14:paraId="1FB15C0D" w14:textId="77777777" w:rsidTr="00D74354">
        <w:tc>
          <w:tcPr>
            <w:tcW w:w="2527" w:type="dxa"/>
          </w:tcPr>
          <w:p w14:paraId="2BE03D4F" w14:textId="0E6C8FDC" w:rsidR="002F6E8B" w:rsidRDefault="002F6E8B" w:rsidP="00582A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inputs_SStoy</w:t>
            </w:r>
            <w:proofErr w:type="spellEnd"/>
          </w:p>
        </w:tc>
        <w:tc>
          <w:tcPr>
            <w:tcW w:w="7328" w:type="dxa"/>
          </w:tcPr>
          <w:p w14:paraId="5CB4F161" w14:textId="4715FFB9" w:rsidR="002F6E8B" w:rsidRDefault="004C3EC8" w:rsidP="00841109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Toy steady-state model and data (constant fluxes, isotopic steady-state)</w:t>
            </w:r>
            <w:r w:rsidR="00D74354">
              <w:rPr>
                <w:sz w:val="24"/>
                <w:szCs w:val="24"/>
              </w:rPr>
              <w:t xml:space="preserve"> same as </w:t>
            </w:r>
            <w:proofErr w:type="spellStart"/>
            <w:r w:rsidR="00D74354">
              <w:rPr>
                <w:sz w:val="24"/>
                <w:szCs w:val="24"/>
              </w:rPr>
              <w:t>OpenFLUX</w:t>
            </w:r>
            <w:proofErr w:type="spellEnd"/>
            <w:r w:rsidR="00D74354">
              <w:rPr>
                <w:sz w:val="24"/>
                <w:szCs w:val="24"/>
              </w:rPr>
              <w:t xml:space="preserve"> version 2009.</w:t>
            </w:r>
          </w:p>
          <w:p w14:paraId="56D073F1" w14:textId="77777777" w:rsidR="004C3EC8" w:rsidRDefault="004C3EC8" w:rsidP="00841109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Least-square function.</w:t>
            </w:r>
          </w:p>
          <w:p w14:paraId="5F60BCE0" w14:textId="55F6C50E" w:rsidR="004C3EC8" w:rsidRPr="004C3EC8" w:rsidRDefault="004C3EC8" w:rsidP="004C3EC8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proofErr w:type="spellStart"/>
            <w:r w:rsidRPr="00881CA7">
              <w:rPr>
                <w:rFonts w:ascii="Courier New" w:hAnsi="Courier New" w:cs="Courier New"/>
                <w:color w:val="00B0F0"/>
                <w:sz w:val="24"/>
                <w:szCs w:val="24"/>
              </w:rPr>
              <w:t>OFspec_</w:t>
            </w:r>
            <w:r>
              <w:rPr>
                <w:rFonts w:ascii="Courier New" w:hAnsi="Courier New" w:cs="Courier New"/>
                <w:color w:val="00B0F0"/>
                <w:sz w:val="24"/>
                <w:szCs w:val="24"/>
              </w:rPr>
              <w:t>SStoy</w:t>
            </w:r>
            <w:r w:rsidRPr="00881CA7">
              <w:rPr>
                <w:rFonts w:ascii="Courier New" w:hAnsi="Courier New" w:cs="Courier New"/>
                <w:color w:val="00B0F0"/>
                <w:sz w:val="24"/>
                <w:szCs w:val="24"/>
              </w:rPr>
              <w:t>.m</w:t>
            </w:r>
            <w:proofErr w:type="spellEnd"/>
            <w:r>
              <w:rPr>
                <w:sz w:val="24"/>
                <w:szCs w:val="24"/>
              </w:rPr>
              <w:t xml:space="preserve"> specification files.</w:t>
            </w:r>
          </w:p>
          <w:p w14:paraId="549CD557" w14:textId="014C18D1" w:rsidR="004C3EC8" w:rsidRDefault="004C3EC8" w:rsidP="00841109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(empty files) additional data and constraints.</w:t>
            </w:r>
          </w:p>
        </w:tc>
      </w:tr>
      <w:tr w:rsidR="002F6E8B" w14:paraId="5845771D" w14:textId="77777777" w:rsidTr="00D74354">
        <w:tc>
          <w:tcPr>
            <w:tcW w:w="2527" w:type="dxa"/>
          </w:tcPr>
          <w:p w14:paraId="70C86C3E" w14:textId="3BA3BA2B" w:rsidR="002F6E8B" w:rsidRDefault="002F6E8B" w:rsidP="00582A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MCinstances</w:t>
            </w:r>
            <w:proofErr w:type="spellEnd"/>
          </w:p>
        </w:tc>
        <w:tc>
          <w:tcPr>
            <w:tcW w:w="7328" w:type="dxa"/>
          </w:tcPr>
          <w:p w14:paraId="53ED78F0" w14:textId="7E3956A9" w:rsidR="002F6E8B" w:rsidRDefault="00457D26" w:rsidP="00841109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to store Monte-Carlo optimisation </w:t>
            </w:r>
            <w:r w:rsidR="003538C3">
              <w:rPr>
                <w:sz w:val="24"/>
                <w:szCs w:val="24"/>
              </w:rPr>
              <w:t xml:space="preserve">instances </w:t>
            </w:r>
            <w:r>
              <w:rPr>
                <w:sz w:val="24"/>
                <w:szCs w:val="24"/>
              </w:rPr>
              <w:t>(</w:t>
            </w:r>
            <w:r w:rsidRPr="003538C3">
              <w:rPr>
                <w:rFonts w:ascii="Courier New" w:hAnsi="Courier New" w:cs="Courier New"/>
                <w:color w:val="00B0F0"/>
                <w:sz w:val="24"/>
                <w:szCs w:val="24"/>
              </w:rPr>
              <w:t>runner_5</w:t>
            </w:r>
            <w:r>
              <w:rPr>
                <w:sz w:val="24"/>
                <w:szCs w:val="24"/>
              </w:rPr>
              <w:t>)</w:t>
            </w:r>
            <w:r w:rsidR="003538C3">
              <w:rPr>
                <w:sz w:val="24"/>
                <w:szCs w:val="24"/>
              </w:rPr>
              <w:t>.</w:t>
            </w:r>
          </w:p>
        </w:tc>
      </w:tr>
      <w:tr w:rsidR="002F6E8B" w14:paraId="5A869687" w14:textId="77777777" w:rsidTr="00D74354">
        <w:tc>
          <w:tcPr>
            <w:tcW w:w="2527" w:type="dxa"/>
          </w:tcPr>
          <w:p w14:paraId="19E5AAC0" w14:textId="0C553C9A" w:rsidR="002F6E8B" w:rsidRDefault="002F6E8B" w:rsidP="00582A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OF_2009_projectFolder</w:t>
            </w:r>
          </w:p>
        </w:tc>
        <w:tc>
          <w:tcPr>
            <w:tcW w:w="7328" w:type="dxa"/>
          </w:tcPr>
          <w:p w14:paraId="1AD43875" w14:textId="28D15A08" w:rsidR="002F6E8B" w:rsidRDefault="00457D26" w:rsidP="00841109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containing model/data for implementation using </w:t>
            </w:r>
            <w:proofErr w:type="spellStart"/>
            <w:r>
              <w:rPr>
                <w:sz w:val="24"/>
                <w:szCs w:val="24"/>
              </w:rPr>
              <w:t>OpenFLUX</w:t>
            </w:r>
            <w:proofErr w:type="spellEnd"/>
            <w:r>
              <w:rPr>
                <w:sz w:val="24"/>
                <w:szCs w:val="24"/>
              </w:rPr>
              <w:t xml:space="preserve"> version 2009.</w:t>
            </w:r>
          </w:p>
        </w:tc>
      </w:tr>
      <w:tr w:rsidR="002F6E8B" w14:paraId="137ED3C6" w14:textId="77777777" w:rsidTr="00D74354">
        <w:tc>
          <w:tcPr>
            <w:tcW w:w="2527" w:type="dxa"/>
          </w:tcPr>
          <w:p w14:paraId="0F97413C" w14:textId="4B67A590" w:rsidR="002F6E8B" w:rsidRDefault="002F6E8B" w:rsidP="00582A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OFfunctions</w:t>
            </w:r>
            <w:proofErr w:type="spellEnd"/>
          </w:p>
        </w:tc>
        <w:tc>
          <w:tcPr>
            <w:tcW w:w="7328" w:type="dxa"/>
          </w:tcPr>
          <w:p w14:paraId="38AE5850" w14:textId="51B51D41" w:rsidR="002F6E8B" w:rsidRDefault="00457D26" w:rsidP="00841109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containing </w:t>
            </w:r>
            <w:proofErr w:type="spellStart"/>
            <w:r>
              <w:rPr>
                <w:sz w:val="24"/>
                <w:szCs w:val="24"/>
              </w:rPr>
              <w:t>OpenFLUX</w:t>
            </w:r>
            <w:proofErr w:type="spellEnd"/>
            <w:r>
              <w:rPr>
                <w:sz w:val="24"/>
                <w:szCs w:val="24"/>
              </w:rPr>
              <w:t xml:space="preserve"> scripts.</w:t>
            </w:r>
          </w:p>
        </w:tc>
      </w:tr>
      <w:tr w:rsidR="002F6E8B" w14:paraId="110D75DB" w14:textId="77777777" w:rsidTr="00D74354">
        <w:tc>
          <w:tcPr>
            <w:tcW w:w="2527" w:type="dxa"/>
          </w:tcPr>
          <w:p w14:paraId="7A10D7F6" w14:textId="16FD8934" w:rsidR="002F6E8B" w:rsidRDefault="002F6E8B" w:rsidP="00582A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OPinstances</w:t>
            </w:r>
            <w:proofErr w:type="spellEnd"/>
          </w:p>
        </w:tc>
        <w:tc>
          <w:tcPr>
            <w:tcW w:w="7328" w:type="dxa"/>
          </w:tcPr>
          <w:p w14:paraId="7339F233" w14:textId="32141C52" w:rsidR="002F6E8B" w:rsidRDefault="00457D26" w:rsidP="00841109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to store </w:t>
            </w:r>
            <w:r>
              <w:rPr>
                <w:sz w:val="24"/>
                <w:szCs w:val="24"/>
              </w:rPr>
              <w:t>optimisation instances (</w:t>
            </w:r>
            <w:r w:rsidRPr="003538C3">
              <w:rPr>
                <w:rFonts w:ascii="Courier New" w:hAnsi="Courier New" w:cs="Courier New"/>
                <w:color w:val="00B0F0"/>
                <w:sz w:val="24"/>
                <w:szCs w:val="24"/>
              </w:rPr>
              <w:t>runner_3</w:t>
            </w:r>
            <w:r>
              <w:rPr>
                <w:sz w:val="24"/>
                <w:szCs w:val="24"/>
              </w:rPr>
              <w:t>).</w:t>
            </w:r>
            <w:bookmarkStart w:id="0" w:name="_GoBack"/>
            <w:bookmarkEnd w:id="0"/>
          </w:p>
        </w:tc>
      </w:tr>
      <w:tr w:rsidR="002F6E8B" w14:paraId="29BA72F8" w14:textId="77777777" w:rsidTr="00D74354">
        <w:tc>
          <w:tcPr>
            <w:tcW w:w="2527" w:type="dxa"/>
          </w:tcPr>
          <w:p w14:paraId="46F17F30" w14:textId="32E40DF0" w:rsidR="002F6E8B" w:rsidRDefault="002F6E8B" w:rsidP="00582A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SIMinstances</w:t>
            </w:r>
            <w:proofErr w:type="spellEnd"/>
          </w:p>
        </w:tc>
        <w:tc>
          <w:tcPr>
            <w:tcW w:w="7328" w:type="dxa"/>
          </w:tcPr>
          <w:p w14:paraId="39A929EE" w14:textId="05AD4700" w:rsidR="002F6E8B" w:rsidRDefault="00457D26" w:rsidP="00841109">
            <w:pPr>
              <w:pStyle w:val="ListParagraph"/>
              <w:numPr>
                <w:ilvl w:val="0"/>
                <w:numId w:val="5"/>
              </w:num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 to store simulation instances (</w:t>
            </w:r>
            <w:r w:rsidRPr="003538C3">
              <w:rPr>
                <w:rFonts w:ascii="Courier New" w:hAnsi="Courier New" w:cs="Courier New"/>
                <w:color w:val="00B0F0"/>
                <w:sz w:val="24"/>
                <w:szCs w:val="24"/>
              </w:rPr>
              <w:t>runner_2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75C40204" w14:textId="1B4481DC" w:rsidR="002E1A7C" w:rsidRDefault="002E1A7C">
      <w:pPr>
        <w:rPr>
          <w:sz w:val="24"/>
          <w:szCs w:val="24"/>
        </w:rPr>
      </w:pPr>
    </w:p>
    <w:p w14:paraId="0E4330E6" w14:textId="2C1D293E" w:rsidR="00052676" w:rsidRPr="00D74354" w:rsidRDefault="002E78EB" w:rsidP="0007551E">
      <w:pPr>
        <w:rPr>
          <w:b/>
          <w:bCs/>
          <w:sz w:val="24"/>
          <w:szCs w:val="24"/>
        </w:rPr>
      </w:pPr>
      <w:r w:rsidRPr="00D74354">
        <w:rPr>
          <w:b/>
          <w:bCs/>
          <w:sz w:val="24"/>
          <w:szCs w:val="24"/>
        </w:rPr>
        <w:t>Workflow:</w:t>
      </w:r>
    </w:p>
    <w:p w14:paraId="021CC184" w14:textId="0ED1A7D7" w:rsidR="002E78EB" w:rsidRPr="00EB2E80" w:rsidRDefault="002E78EB" w:rsidP="002E78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E80">
        <w:rPr>
          <w:sz w:val="24"/>
          <w:szCs w:val="24"/>
        </w:rPr>
        <w:t xml:space="preserve">Edit </w:t>
      </w:r>
      <w:proofErr w:type="spellStart"/>
      <w:r w:rsidRPr="00EB2E80">
        <w:rPr>
          <w:rFonts w:ascii="Courier New" w:hAnsi="Courier New" w:cs="Courier New"/>
          <w:color w:val="00B0F0"/>
          <w:sz w:val="24"/>
          <w:szCs w:val="24"/>
        </w:rPr>
        <w:t>OFspec</w:t>
      </w:r>
      <w:proofErr w:type="spellEnd"/>
      <w:r w:rsidRPr="00EB2E80">
        <w:rPr>
          <w:rFonts w:ascii="Courier New" w:hAnsi="Courier New" w:cs="Courier New"/>
          <w:color w:val="00B0F0"/>
          <w:sz w:val="24"/>
          <w:szCs w:val="24"/>
        </w:rPr>
        <w:t>_*.m</w:t>
      </w:r>
      <w:r w:rsidRPr="00EB2E80">
        <w:rPr>
          <w:color w:val="00B0F0"/>
          <w:sz w:val="24"/>
          <w:szCs w:val="24"/>
        </w:rPr>
        <w:t xml:space="preserve"> </w:t>
      </w:r>
      <w:r w:rsidR="002F6E8B" w:rsidRPr="002F6E8B">
        <w:rPr>
          <w:sz w:val="24"/>
          <w:szCs w:val="24"/>
        </w:rPr>
        <w:t xml:space="preserve">(contained in inputs_* folders) </w:t>
      </w:r>
      <w:r w:rsidRPr="00EB2E80">
        <w:rPr>
          <w:sz w:val="24"/>
          <w:szCs w:val="24"/>
        </w:rPr>
        <w:t xml:space="preserve">to specify parameters of the </w:t>
      </w:r>
      <w:proofErr w:type="spellStart"/>
      <w:r w:rsidRPr="00EB2E80">
        <w:rPr>
          <w:sz w:val="24"/>
          <w:szCs w:val="24"/>
        </w:rPr>
        <w:t>OpenFLUX</w:t>
      </w:r>
      <w:proofErr w:type="spellEnd"/>
      <w:r w:rsidRPr="00EB2E80">
        <w:rPr>
          <w:sz w:val="24"/>
          <w:szCs w:val="24"/>
        </w:rPr>
        <w:t xml:space="preserve"> object.</w:t>
      </w:r>
    </w:p>
    <w:p w14:paraId="142321BE" w14:textId="1CFC5561" w:rsidR="002E78EB" w:rsidRPr="00EB2E80" w:rsidRDefault="002E78EB" w:rsidP="002E78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E80">
        <w:rPr>
          <w:sz w:val="24"/>
          <w:szCs w:val="24"/>
        </w:rPr>
        <w:t xml:space="preserve">Run the required task in </w:t>
      </w:r>
      <w:proofErr w:type="spellStart"/>
      <w:r w:rsidRPr="00EB2E80">
        <w:rPr>
          <w:rFonts w:ascii="Courier New" w:hAnsi="Courier New" w:cs="Courier New"/>
          <w:color w:val="00B0F0"/>
          <w:sz w:val="24"/>
          <w:szCs w:val="24"/>
        </w:rPr>
        <w:t>OFstartHere.m</w:t>
      </w:r>
      <w:proofErr w:type="spellEnd"/>
      <w:r w:rsidR="00023E9B">
        <w:rPr>
          <w:sz w:val="24"/>
          <w:szCs w:val="24"/>
        </w:rPr>
        <w:t xml:space="preserve"> by toggling on/off the specification file </w:t>
      </w:r>
      <w:r w:rsidR="00D02733">
        <w:rPr>
          <w:sz w:val="24"/>
          <w:szCs w:val="24"/>
        </w:rPr>
        <w:t xml:space="preserve">name </w:t>
      </w:r>
      <w:r w:rsidR="00023E9B">
        <w:rPr>
          <w:sz w:val="24"/>
          <w:szCs w:val="24"/>
        </w:rPr>
        <w:t>and task</w:t>
      </w:r>
      <w:r w:rsidR="00D02733">
        <w:rPr>
          <w:sz w:val="24"/>
          <w:szCs w:val="24"/>
        </w:rPr>
        <w:t xml:space="preserve"> to run</w:t>
      </w:r>
      <w:r w:rsidR="00023E9B">
        <w:rPr>
          <w:sz w:val="24"/>
          <w:szCs w:val="24"/>
        </w:rPr>
        <w:t>.</w:t>
      </w:r>
    </w:p>
    <w:p w14:paraId="41BA0C99" w14:textId="77777777" w:rsidR="00CF551C" w:rsidRDefault="00AB3D56" w:rsidP="000755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B65B5E" wp14:editId="092E0386">
            <wp:extent cx="6120765" cy="2362200"/>
            <wp:effectExtent l="0" t="0" r="0" b="0"/>
            <wp:docPr id="2" name="Picture 2" descr="A clock sitting in the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FLUX workflow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87B2" w14:textId="7B8E5321" w:rsidR="007638E2" w:rsidRDefault="007638E2" w:rsidP="0007551E">
      <w:pPr>
        <w:rPr>
          <w:sz w:val="24"/>
          <w:szCs w:val="24"/>
        </w:rPr>
      </w:pPr>
    </w:p>
    <w:p w14:paraId="135224DC" w14:textId="48005576" w:rsidR="00CF551C" w:rsidRDefault="00B53287" w:rsidP="0007551E">
      <w:pPr>
        <w:rPr>
          <w:sz w:val="24"/>
          <w:szCs w:val="24"/>
        </w:rPr>
      </w:pPr>
      <w:r>
        <w:rPr>
          <w:sz w:val="24"/>
          <w:szCs w:val="24"/>
        </w:rPr>
        <w:t xml:space="preserve">You can still implement </w:t>
      </w:r>
      <w:r w:rsidR="00A81D03">
        <w:rPr>
          <w:sz w:val="24"/>
          <w:szCs w:val="24"/>
        </w:rPr>
        <w:t xml:space="preserve">MATLAB </w:t>
      </w:r>
      <w:r>
        <w:rPr>
          <w:sz w:val="24"/>
          <w:szCs w:val="24"/>
        </w:rPr>
        <w:t>scripts from</w:t>
      </w:r>
      <w:r w:rsidR="00CF551C">
        <w:rPr>
          <w:sz w:val="24"/>
          <w:szCs w:val="24"/>
        </w:rPr>
        <w:t xml:space="preserve"> </w:t>
      </w:r>
      <w:proofErr w:type="spellStart"/>
      <w:r w:rsidR="00CF551C">
        <w:rPr>
          <w:sz w:val="24"/>
          <w:szCs w:val="24"/>
        </w:rPr>
        <w:t>OpenFLUX</w:t>
      </w:r>
      <w:proofErr w:type="spellEnd"/>
      <w:r w:rsidR="00CF551C">
        <w:rPr>
          <w:sz w:val="24"/>
          <w:szCs w:val="24"/>
        </w:rPr>
        <w:t xml:space="preserve"> version 2009</w:t>
      </w:r>
      <w:r>
        <w:rPr>
          <w:sz w:val="24"/>
          <w:szCs w:val="24"/>
        </w:rPr>
        <w:t xml:space="preserve">, but the JAVA component may </w:t>
      </w:r>
      <w:r w:rsidR="00D74354">
        <w:rPr>
          <w:sz w:val="24"/>
          <w:szCs w:val="24"/>
        </w:rPr>
        <w:t xml:space="preserve">no longer be </w:t>
      </w:r>
      <w:r>
        <w:rPr>
          <w:sz w:val="24"/>
          <w:szCs w:val="24"/>
        </w:rPr>
        <w:t xml:space="preserve">functional due to the lack support/update. Hence </w:t>
      </w:r>
      <w:proofErr w:type="spellStart"/>
      <w:r>
        <w:rPr>
          <w:sz w:val="24"/>
          <w:szCs w:val="24"/>
        </w:rPr>
        <w:t>OpenFLUX</w:t>
      </w:r>
      <w:proofErr w:type="spellEnd"/>
      <w:r>
        <w:rPr>
          <w:sz w:val="24"/>
          <w:szCs w:val="24"/>
        </w:rPr>
        <w:t xml:space="preserve"> 2019 can be used instead to generate the MATLAB-readable model files previously </w:t>
      </w:r>
      <w:r w:rsidR="00A81D03">
        <w:rPr>
          <w:sz w:val="24"/>
          <w:szCs w:val="24"/>
        </w:rPr>
        <w:t xml:space="preserve">handled </w:t>
      </w:r>
      <w:r w:rsidR="009F773C">
        <w:rPr>
          <w:sz w:val="24"/>
          <w:szCs w:val="24"/>
        </w:rPr>
        <w:t>by the</w:t>
      </w:r>
      <w:r>
        <w:rPr>
          <w:sz w:val="24"/>
          <w:szCs w:val="24"/>
        </w:rPr>
        <w:t xml:space="preserve"> JAVA script.</w:t>
      </w:r>
    </w:p>
    <w:p w14:paraId="40B608BF" w14:textId="56F72459" w:rsidR="00CF551C" w:rsidRDefault="00CF551C" w:rsidP="00CF55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“</w:t>
      </w:r>
      <w:proofErr w:type="spellStart"/>
      <w:r>
        <w:rPr>
          <w:sz w:val="24"/>
          <w:szCs w:val="24"/>
        </w:rPr>
        <w:t>mFiles</w:t>
      </w:r>
      <w:proofErr w:type="spellEnd"/>
      <w:r>
        <w:rPr>
          <w:sz w:val="24"/>
          <w:szCs w:val="24"/>
        </w:rPr>
        <w:t>” folder (version 2009) to MATLAB path.</w:t>
      </w:r>
    </w:p>
    <w:p w14:paraId="623A4691" w14:textId="7BA51C32" w:rsidR="00CF551C" w:rsidRDefault="00CF551C" w:rsidP="00CF55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Specify model file location in </w:t>
      </w:r>
      <w:r w:rsidRPr="00CF551C">
        <w:rPr>
          <w:rFonts w:ascii="Courier New" w:hAnsi="Courier New" w:cs="Courier New"/>
          <w:color w:val="00B0F0"/>
          <w:sz w:val="24"/>
          <w:szCs w:val="24"/>
        </w:rPr>
        <w:t>OFstartHere_2009.m</w:t>
      </w:r>
      <w:r>
        <w:rPr>
          <w:sz w:val="24"/>
          <w:szCs w:val="24"/>
        </w:rPr>
        <w:t xml:space="preserve"> (on line 8).</w:t>
      </w:r>
    </w:p>
    <w:p w14:paraId="76BD4B1A" w14:textId="6A20280E" w:rsidR="00CF551C" w:rsidRDefault="00CF551C" w:rsidP="00CF55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CF551C">
        <w:rPr>
          <w:rFonts w:ascii="Courier New" w:hAnsi="Courier New" w:cs="Courier New"/>
          <w:color w:val="00B0F0"/>
          <w:sz w:val="24"/>
          <w:szCs w:val="24"/>
        </w:rPr>
        <w:t>OFstartHere_2009.m</w:t>
      </w:r>
      <w:r>
        <w:rPr>
          <w:sz w:val="24"/>
          <w:szCs w:val="24"/>
        </w:rPr>
        <w:t xml:space="preserve"> to generate MATLAB-readable model files (contained in the same folder as the model file). </w:t>
      </w:r>
    </w:p>
    <w:p w14:paraId="0E72D076" w14:textId="238B40E9" w:rsidR="00FC593C" w:rsidRDefault="00CF551C" w:rsidP="000755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CF551C">
        <w:rPr>
          <w:rFonts w:ascii="Courier New" w:hAnsi="Courier New" w:cs="Courier New"/>
          <w:color w:val="00B0F0"/>
          <w:sz w:val="24"/>
          <w:szCs w:val="24"/>
        </w:rPr>
        <w:t>start13OF.m</w:t>
      </w:r>
      <w:r>
        <w:rPr>
          <w:sz w:val="24"/>
          <w:szCs w:val="24"/>
        </w:rPr>
        <w:t xml:space="preserve"> (resume </w:t>
      </w:r>
      <w:proofErr w:type="spellStart"/>
      <w:r>
        <w:rPr>
          <w:sz w:val="24"/>
          <w:szCs w:val="24"/>
        </w:rPr>
        <w:t>OpenFLUX</w:t>
      </w:r>
      <w:proofErr w:type="spellEnd"/>
      <w:r>
        <w:rPr>
          <w:sz w:val="24"/>
          <w:szCs w:val="24"/>
        </w:rPr>
        <w:t xml:space="preserve"> 2009 workflow).</w:t>
      </w:r>
    </w:p>
    <w:p w14:paraId="2A7AA1B2" w14:textId="0C6AEAA6" w:rsidR="007638E2" w:rsidRDefault="007638E2" w:rsidP="007638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5D3B25" wp14:editId="449C0D97">
            <wp:extent cx="5530457" cy="45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h478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457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ACC0" w14:textId="019BFE27" w:rsidR="00241086" w:rsidRDefault="0009740D" w:rsidP="007638E2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0C0FB92A" w14:textId="77777777" w:rsidR="002E1A7C" w:rsidRDefault="002E1A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B8A882" w14:textId="2DB4CC56" w:rsidR="007638E2" w:rsidRDefault="003C20D8" w:rsidP="007638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Task-based tutorial, step-by-step (</w:t>
      </w:r>
      <w:r w:rsidRPr="003C20D8">
        <w:rPr>
          <w:sz w:val="24"/>
          <w:szCs w:val="24"/>
          <w:highlight w:val="yellow"/>
        </w:rPr>
        <w:t>DRAFTING IN PROGRESS</w:t>
      </w:r>
      <w:r>
        <w:rPr>
          <w:sz w:val="24"/>
          <w:szCs w:val="24"/>
        </w:rPr>
        <w:t>)</w:t>
      </w:r>
    </w:p>
    <w:p w14:paraId="2824A685" w14:textId="38FE6068" w:rsidR="0009740D" w:rsidRDefault="003C20D8" w:rsidP="003C20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isotopic steady state, constant fluxes</w:t>
      </w:r>
    </w:p>
    <w:p w14:paraId="095422B5" w14:textId="1767D632" w:rsidR="003C20D8" w:rsidRDefault="003C20D8" w:rsidP="003C20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isotopic non-steady state, constant fluxes</w:t>
      </w:r>
    </w:p>
    <w:p w14:paraId="0590FBDB" w14:textId="1700349F" w:rsidR="003C20D8" w:rsidRDefault="003C20D8" w:rsidP="003C20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isotopic non-steady state, dynamic fluxes</w:t>
      </w:r>
    </w:p>
    <w:p w14:paraId="7DEF7D5E" w14:textId="77777777" w:rsidR="003C20D8" w:rsidRPr="003C20D8" w:rsidRDefault="003C20D8" w:rsidP="003C20D8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2C0AD5C6" w14:textId="77777777" w:rsidR="007638E2" w:rsidRPr="007638E2" w:rsidRDefault="007638E2" w:rsidP="007638E2">
      <w:pPr>
        <w:rPr>
          <w:sz w:val="24"/>
          <w:szCs w:val="24"/>
        </w:rPr>
      </w:pPr>
    </w:p>
    <w:sectPr w:rsidR="007638E2" w:rsidRPr="007638E2" w:rsidSect="008729A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A4BB3"/>
    <w:multiLevelType w:val="hybridMultilevel"/>
    <w:tmpl w:val="C46268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F4063"/>
    <w:multiLevelType w:val="hybridMultilevel"/>
    <w:tmpl w:val="A2449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6752C"/>
    <w:multiLevelType w:val="hybridMultilevel"/>
    <w:tmpl w:val="F53A6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E6101"/>
    <w:multiLevelType w:val="hybridMultilevel"/>
    <w:tmpl w:val="4BF68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D28E6"/>
    <w:multiLevelType w:val="hybridMultilevel"/>
    <w:tmpl w:val="86641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56104"/>
    <w:multiLevelType w:val="hybridMultilevel"/>
    <w:tmpl w:val="EB3AD7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5EAA"/>
    <w:rsid w:val="00023E9B"/>
    <w:rsid w:val="00052676"/>
    <w:rsid w:val="0007551E"/>
    <w:rsid w:val="0009740D"/>
    <w:rsid w:val="000E4758"/>
    <w:rsid w:val="001F3EBD"/>
    <w:rsid w:val="00227E5E"/>
    <w:rsid w:val="00241086"/>
    <w:rsid w:val="002E1A7C"/>
    <w:rsid w:val="002E78EB"/>
    <w:rsid w:val="002F6E8B"/>
    <w:rsid w:val="00333760"/>
    <w:rsid w:val="003538C3"/>
    <w:rsid w:val="003C20D8"/>
    <w:rsid w:val="00457D26"/>
    <w:rsid w:val="004C3EC8"/>
    <w:rsid w:val="00530310"/>
    <w:rsid w:val="00622794"/>
    <w:rsid w:val="00704A66"/>
    <w:rsid w:val="00734F56"/>
    <w:rsid w:val="007638E2"/>
    <w:rsid w:val="00805D04"/>
    <w:rsid w:val="00841109"/>
    <w:rsid w:val="00865EAA"/>
    <w:rsid w:val="008729AD"/>
    <w:rsid w:val="00881CA7"/>
    <w:rsid w:val="00885483"/>
    <w:rsid w:val="009B2E24"/>
    <w:rsid w:val="009E326C"/>
    <w:rsid w:val="009F773C"/>
    <w:rsid w:val="00A81D03"/>
    <w:rsid w:val="00AB3D56"/>
    <w:rsid w:val="00B53287"/>
    <w:rsid w:val="00B97D9B"/>
    <w:rsid w:val="00BD08A0"/>
    <w:rsid w:val="00BE0176"/>
    <w:rsid w:val="00CF551C"/>
    <w:rsid w:val="00D02733"/>
    <w:rsid w:val="00D74354"/>
    <w:rsid w:val="00DF5AB4"/>
    <w:rsid w:val="00EB2E80"/>
    <w:rsid w:val="00FA0C89"/>
    <w:rsid w:val="00FC593C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0565"/>
  <w15:chartTrackingRefBased/>
  <w15:docId w15:val="{242892DB-ED49-4BC0-91D0-757A7F38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7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51E"/>
    <w:pPr>
      <w:ind w:left="720"/>
      <w:contextualSpacing/>
    </w:pPr>
  </w:style>
  <w:style w:type="table" w:styleId="TableGrid">
    <w:name w:val="Table Grid"/>
    <w:basedOn w:val="TableNormal"/>
    <w:uiPriority w:val="59"/>
    <w:rsid w:val="0080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1A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1475-2859-8-2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S25890042203003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eeeq/OpenFLUX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ake-ee.quek@sydney.edu.a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Lake-Ee Quek</dc:creator>
  <cp:keywords/>
  <dc:description/>
  <cp:lastModifiedBy>Lake-Ee Quek</cp:lastModifiedBy>
  <cp:revision>37</cp:revision>
  <dcterms:created xsi:type="dcterms:W3CDTF">2019-08-23T01:36:00Z</dcterms:created>
  <dcterms:modified xsi:type="dcterms:W3CDTF">2020-02-03T04:05:00Z</dcterms:modified>
</cp:coreProperties>
</file>