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03DC0" w14:textId="1F4475D1" w:rsidR="000F6026" w:rsidRDefault="00023BAA" w:rsidP="00023BAA">
      <w:pPr>
        <w:jc w:val="center"/>
        <w:rPr>
          <w:sz w:val="28"/>
          <w:szCs w:val="28"/>
        </w:rPr>
      </w:pPr>
      <w:r>
        <w:rPr>
          <w:sz w:val="28"/>
          <w:szCs w:val="28"/>
        </w:rPr>
        <w:t>A</w:t>
      </w:r>
      <w:r w:rsidR="000F6026">
        <w:rPr>
          <w:sz w:val="28"/>
          <w:szCs w:val="28"/>
        </w:rPr>
        <w:t xml:space="preserve">reas of concern about Gilbert Farm </w:t>
      </w:r>
      <w:r>
        <w:rPr>
          <w:sz w:val="28"/>
          <w:szCs w:val="28"/>
        </w:rPr>
        <w:t>E</w:t>
      </w:r>
      <w:r w:rsidR="000F6026">
        <w:rPr>
          <w:sz w:val="28"/>
          <w:szCs w:val="28"/>
        </w:rPr>
        <w:t>xpansion</w:t>
      </w:r>
    </w:p>
    <w:p w14:paraId="38C975B0" w14:textId="4C86A9F9" w:rsidR="000F6026" w:rsidRDefault="000F6026" w:rsidP="000F6026">
      <w:pPr>
        <w:pStyle w:val="ListParagraph"/>
        <w:numPr>
          <w:ilvl w:val="0"/>
          <w:numId w:val="1"/>
        </w:numPr>
        <w:rPr>
          <w:sz w:val="28"/>
          <w:szCs w:val="28"/>
        </w:rPr>
      </w:pPr>
      <w:r>
        <w:rPr>
          <w:sz w:val="28"/>
          <w:szCs w:val="28"/>
        </w:rPr>
        <w:t>Sinkhole near production facilities in a closed depression</w:t>
      </w:r>
      <w:r w:rsidR="00B20597">
        <w:rPr>
          <w:sz w:val="28"/>
          <w:szCs w:val="28"/>
        </w:rPr>
        <w:t xml:space="preserve"> reported by Bill Schuster, former head of Door County Soil and Water</w:t>
      </w:r>
      <w:r>
        <w:rPr>
          <w:sz w:val="28"/>
          <w:szCs w:val="28"/>
        </w:rPr>
        <w:t xml:space="preserve">.  Any manure containment breach flows by gravity into the sinkhole and into groundwater aquifer. </w:t>
      </w:r>
      <w:r w:rsidR="00D4728F">
        <w:rPr>
          <w:sz w:val="28"/>
          <w:szCs w:val="28"/>
        </w:rPr>
        <w:t xml:space="preserve"> In 2023, t</w:t>
      </w:r>
      <w:r>
        <w:rPr>
          <w:sz w:val="28"/>
          <w:szCs w:val="28"/>
        </w:rPr>
        <w:t xml:space="preserve">wo liquid manure containment malfunctions </w:t>
      </w:r>
      <w:r w:rsidR="00D4728F">
        <w:rPr>
          <w:sz w:val="28"/>
          <w:szCs w:val="28"/>
        </w:rPr>
        <w:t xml:space="preserve">occurred </w:t>
      </w:r>
      <w:r w:rsidR="006C161A">
        <w:rPr>
          <w:sz w:val="28"/>
          <w:szCs w:val="28"/>
        </w:rPr>
        <w:t xml:space="preserve">elsewhere in Door County </w:t>
      </w:r>
      <w:r>
        <w:rPr>
          <w:sz w:val="28"/>
          <w:szCs w:val="28"/>
        </w:rPr>
        <w:t>caus</w:t>
      </w:r>
      <w:r w:rsidR="00D4728F">
        <w:rPr>
          <w:sz w:val="28"/>
          <w:szCs w:val="28"/>
        </w:rPr>
        <w:t>ing</w:t>
      </w:r>
      <w:r>
        <w:rPr>
          <w:sz w:val="28"/>
          <w:szCs w:val="28"/>
        </w:rPr>
        <w:t xml:space="preserve"> spillage</w:t>
      </w:r>
      <w:r w:rsidR="00D4728F">
        <w:rPr>
          <w:sz w:val="28"/>
          <w:szCs w:val="28"/>
        </w:rPr>
        <w:t xml:space="preserve">. </w:t>
      </w:r>
      <w:r>
        <w:rPr>
          <w:sz w:val="28"/>
          <w:szCs w:val="28"/>
        </w:rPr>
        <w:t xml:space="preserve"> </w:t>
      </w:r>
      <w:r w:rsidR="00D4728F">
        <w:rPr>
          <w:sz w:val="28"/>
          <w:szCs w:val="28"/>
        </w:rPr>
        <w:t xml:space="preserve">The sinkhole is a </w:t>
      </w:r>
      <w:r>
        <w:rPr>
          <w:sz w:val="28"/>
          <w:szCs w:val="28"/>
        </w:rPr>
        <w:t>significant concern</w:t>
      </w:r>
      <w:r w:rsidR="00D4728F">
        <w:rPr>
          <w:sz w:val="28"/>
          <w:szCs w:val="28"/>
        </w:rPr>
        <w:t xml:space="preserve"> because of </w:t>
      </w:r>
      <w:r>
        <w:rPr>
          <w:sz w:val="28"/>
          <w:szCs w:val="28"/>
        </w:rPr>
        <w:t>the two older liquid manure storage facilities containing 1 and 2 million gallons</w:t>
      </w:r>
      <w:r w:rsidR="00D4728F">
        <w:rPr>
          <w:sz w:val="28"/>
          <w:szCs w:val="28"/>
        </w:rPr>
        <w:t xml:space="preserve"> located near it on the Gilbert Farm</w:t>
      </w:r>
      <w:r>
        <w:rPr>
          <w:sz w:val="28"/>
          <w:szCs w:val="28"/>
        </w:rPr>
        <w:t>.</w:t>
      </w:r>
    </w:p>
    <w:p w14:paraId="09263673" w14:textId="01B26D8B" w:rsidR="000F6026" w:rsidRDefault="006C161A" w:rsidP="000F6026">
      <w:pPr>
        <w:pStyle w:val="ListParagraph"/>
        <w:numPr>
          <w:ilvl w:val="0"/>
          <w:numId w:val="1"/>
        </w:numPr>
        <w:rPr>
          <w:sz w:val="28"/>
          <w:szCs w:val="28"/>
        </w:rPr>
      </w:pPr>
      <w:r>
        <w:rPr>
          <w:sz w:val="28"/>
          <w:szCs w:val="28"/>
        </w:rPr>
        <w:t>A four-fold</w:t>
      </w:r>
      <w:r w:rsidR="000F6026">
        <w:rPr>
          <w:sz w:val="28"/>
          <w:szCs w:val="28"/>
        </w:rPr>
        <w:t xml:space="preserve"> increase in volume of liquid waste to be processed and spread on approximately the same acreage of land.  Currently </w:t>
      </w:r>
      <w:r>
        <w:rPr>
          <w:sz w:val="28"/>
          <w:szCs w:val="28"/>
        </w:rPr>
        <w:t xml:space="preserve">at </w:t>
      </w:r>
      <w:r w:rsidR="000F6026">
        <w:rPr>
          <w:sz w:val="28"/>
          <w:szCs w:val="28"/>
        </w:rPr>
        <w:t>5.7 million gallons</w:t>
      </w:r>
      <w:r>
        <w:rPr>
          <w:sz w:val="28"/>
          <w:szCs w:val="28"/>
        </w:rPr>
        <w:t xml:space="preserve"> per year</w:t>
      </w:r>
      <w:r w:rsidR="000F6026">
        <w:rPr>
          <w:sz w:val="28"/>
          <w:szCs w:val="28"/>
        </w:rPr>
        <w:t xml:space="preserve">, </w:t>
      </w:r>
      <w:r>
        <w:rPr>
          <w:sz w:val="28"/>
          <w:szCs w:val="28"/>
        </w:rPr>
        <w:t xml:space="preserve">the proposed </w:t>
      </w:r>
      <w:r w:rsidR="000F6026">
        <w:rPr>
          <w:sz w:val="28"/>
          <w:szCs w:val="28"/>
        </w:rPr>
        <w:t xml:space="preserve">expansion increases this to 21.4 million gallons due to bringing </w:t>
      </w:r>
      <w:r>
        <w:rPr>
          <w:sz w:val="28"/>
          <w:szCs w:val="28"/>
        </w:rPr>
        <w:t xml:space="preserve">other </w:t>
      </w:r>
      <w:r w:rsidR="000F6026">
        <w:rPr>
          <w:sz w:val="28"/>
          <w:szCs w:val="28"/>
        </w:rPr>
        <w:t xml:space="preserve">areas </w:t>
      </w:r>
      <w:r>
        <w:rPr>
          <w:sz w:val="28"/>
          <w:szCs w:val="28"/>
        </w:rPr>
        <w:t xml:space="preserve">of the farm </w:t>
      </w:r>
      <w:r w:rsidR="000F6026">
        <w:rPr>
          <w:sz w:val="28"/>
          <w:szCs w:val="28"/>
        </w:rPr>
        <w:t>into compliance and increased animal units.</w:t>
      </w:r>
    </w:p>
    <w:p w14:paraId="169CD541" w14:textId="28114D3B" w:rsidR="000F6026" w:rsidRDefault="00B20597" w:rsidP="000F6026">
      <w:pPr>
        <w:pStyle w:val="ListParagraph"/>
        <w:numPr>
          <w:ilvl w:val="0"/>
          <w:numId w:val="1"/>
        </w:numPr>
        <w:rPr>
          <w:sz w:val="28"/>
          <w:szCs w:val="28"/>
        </w:rPr>
      </w:pPr>
      <w:r>
        <w:rPr>
          <w:sz w:val="28"/>
          <w:szCs w:val="28"/>
        </w:rPr>
        <w:t>Concerns for well water safety and impacts to groundwater and surface water quality.  Numerous instances of wells contaminated by nearby large farms in Kewaunee County and some in Door County.  Our beaches have had numerous frequent closures in recent years; Sturgeon Bay has had significant increase in aquatic plants necessitating cutting of channels for boating etc.  Increased phosphates and nitrates from CAFO’s contribute to this destruction (see Dan Egan’s books on the Great Lakes for general examples).</w:t>
      </w:r>
    </w:p>
    <w:p w14:paraId="57DE1A69" w14:textId="48CF57B1" w:rsidR="00B20597" w:rsidRDefault="006C161A" w:rsidP="000F6026">
      <w:pPr>
        <w:pStyle w:val="ListParagraph"/>
        <w:numPr>
          <w:ilvl w:val="0"/>
          <w:numId w:val="1"/>
        </w:numPr>
        <w:rPr>
          <w:sz w:val="28"/>
          <w:szCs w:val="28"/>
        </w:rPr>
      </w:pPr>
      <w:r>
        <w:rPr>
          <w:sz w:val="28"/>
          <w:szCs w:val="28"/>
        </w:rPr>
        <w:t xml:space="preserve">Shallow </w:t>
      </w:r>
      <w:r w:rsidR="00B20597">
        <w:rPr>
          <w:sz w:val="28"/>
          <w:szCs w:val="28"/>
        </w:rPr>
        <w:t xml:space="preserve">soil and </w:t>
      </w:r>
      <w:r>
        <w:rPr>
          <w:sz w:val="28"/>
          <w:szCs w:val="28"/>
        </w:rPr>
        <w:t xml:space="preserve">our porous </w:t>
      </w:r>
      <w:r w:rsidR="00B20597">
        <w:rPr>
          <w:sz w:val="28"/>
          <w:szCs w:val="28"/>
        </w:rPr>
        <w:t xml:space="preserve">karst geology </w:t>
      </w:r>
      <w:r>
        <w:rPr>
          <w:sz w:val="28"/>
          <w:szCs w:val="28"/>
        </w:rPr>
        <w:t>render</w:t>
      </w:r>
      <w:r w:rsidR="00B20597">
        <w:rPr>
          <w:sz w:val="28"/>
          <w:szCs w:val="28"/>
        </w:rPr>
        <w:t xml:space="preserve"> Door County a very unsuitable location for CAFO’s.</w:t>
      </w:r>
    </w:p>
    <w:p w14:paraId="05082EED" w14:textId="278EA7F7" w:rsidR="00B20597" w:rsidRDefault="00B20597" w:rsidP="000F6026">
      <w:pPr>
        <w:pStyle w:val="ListParagraph"/>
        <w:numPr>
          <w:ilvl w:val="0"/>
          <w:numId w:val="1"/>
        </w:numPr>
        <w:rPr>
          <w:sz w:val="28"/>
          <w:szCs w:val="28"/>
        </w:rPr>
      </w:pPr>
      <w:r>
        <w:rPr>
          <w:sz w:val="28"/>
          <w:szCs w:val="28"/>
        </w:rPr>
        <w:t xml:space="preserve">The </w:t>
      </w:r>
      <w:r w:rsidR="006C161A">
        <w:rPr>
          <w:sz w:val="28"/>
          <w:szCs w:val="28"/>
        </w:rPr>
        <w:t>importance of maintaining</w:t>
      </w:r>
      <w:r>
        <w:rPr>
          <w:sz w:val="28"/>
          <w:szCs w:val="28"/>
        </w:rPr>
        <w:t xml:space="preserve"> water quality</w:t>
      </w:r>
      <w:r w:rsidR="006C161A">
        <w:rPr>
          <w:sz w:val="28"/>
          <w:szCs w:val="28"/>
        </w:rPr>
        <w:t xml:space="preserve"> for</w:t>
      </w:r>
      <w:r>
        <w:rPr>
          <w:sz w:val="28"/>
          <w:szCs w:val="28"/>
        </w:rPr>
        <w:t xml:space="preserve"> our tourism industry, particularly relevant if one owns a business dependent upon tourism.</w:t>
      </w:r>
      <w:r w:rsidR="00980D92">
        <w:rPr>
          <w:sz w:val="28"/>
          <w:szCs w:val="28"/>
        </w:rPr>
        <w:t xml:space="preserve">  Agriculture </w:t>
      </w:r>
      <w:r w:rsidR="006C161A">
        <w:rPr>
          <w:sz w:val="28"/>
          <w:szCs w:val="28"/>
        </w:rPr>
        <w:t xml:space="preserve">only </w:t>
      </w:r>
      <w:r w:rsidR="00980D92">
        <w:rPr>
          <w:sz w:val="28"/>
          <w:szCs w:val="28"/>
        </w:rPr>
        <w:t>contribute</w:t>
      </w:r>
      <w:r w:rsidR="00CA2AF6">
        <w:rPr>
          <w:sz w:val="28"/>
          <w:szCs w:val="28"/>
        </w:rPr>
        <w:t>d</w:t>
      </w:r>
      <w:r w:rsidR="00980D92">
        <w:rPr>
          <w:sz w:val="28"/>
          <w:szCs w:val="28"/>
        </w:rPr>
        <w:t xml:space="preserve"> approximately </w:t>
      </w:r>
      <w:r w:rsidR="00CA2AF6">
        <w:rPr>
          <w:sz w:val="28"/>
          <w:szCs w:val="28"/>
        </w:rPr>
        <w:t xml:space="preserve">$55 million to Door </w:t>
      </w:r>
      <w:r w:rsidR="006C161A">
        <w:rPr>
          <w:sz w:val="28"/>
          <w:szCs w:val="28"/>
        </w:rPr>
        <w:t>C</w:t>
      </w:r>
      <w:r w:rsidR="00CA2AF6">
        <w:rPr>
          <w:sz w:val="28"/>
          <w:szCs w:val="28"/>
        </w:rPr>
        <w:t>ounty’s GDP</w:t>
      </w:r>
      <w:r w:rsidR="006C161A">
        <w:rPr>
          <w:sz w:val="28"/>
          <w:szCs w:val="28"/>
        </w:rPr>
        <w:t xml:space="preserve"> in 2024</w:t>
      </w:r>
      <w:r w:rsidR="00CA2AF6">
        <w:rPr>
          <w:sz w:val="28"/>
          <w:szCs w:val="28"/>
        </w:rPr>
        <w:t>.</w:t>
      </w:r>
      <w:r w:rsidR="00980D92">
        <w:rPr>
          <w:sz w:val="28"/>
          <w:szCs w:val="28"/>
        </w:rPr>
        <w:t xml:space="preserve">  Tourism </w:t>
      </w:r>
      <w:r w:rsidR="00980D92" w:rsidRPr="00CA2AF6">
        <w:rPr>
          <w:sz w:val="28"/>
          <w:szCs w:val="28"/>
        </w:rPr>
        <w:t>contribute</w:t>
      </w:r>
      <w:r w:rsidR="006C161A">
        <w:rPr>
          <w:sz w:val="28"/>
          <w:szCs w:val="28"/>
        </w:rPr>
        <w:t>d</w:t>
      </w:r>
      <w:r w:rsidR="00980D92" w:rsidRPr="00CA2AF6">
        <w:rPr>
          <w:sz w:val="28"/>
          <w:szCs w:val="28"/>
        </w:rPr>
        <w:t xml:space="preserve"> </w:t>
      </w:r>
      <w:r w:rsidR="006C161A">
        <w:rPr>
          <w:sz w:val="28"/>
          <w:szCs w:val="28"/>
        </w:rPr>
        <w:t xml:space="preserve">at least </w:t>
      </w:r>
      <w:r w:rsidR="00980D92" w:rsidRPr="00CA2AF6">
        <w:rPr>
          <w:sz w:val="28"/>
          <w:szCs w:val="28"/>
        </w:rPr>
        <w:t xml:space="preserve">7X that </w:t>
      </w:r>
      <w:r w:rsidR="006C161A">
        <w:rPr>
          <w:sz w:val="28"/>
          <w:szCs w:val="28"/>
        </w:rPr>
        <w:t>amount</w:t>
      </w:r>
      <w:r w:rsidR="00CA2AF6" w:rsidRPr="00CA2AF6">
        <w:rPr>
          <w:sz w:val="28"/>
          <w:szCs w:val="28"/>
        </w:rPr>
        <w:t xml:space="preserve"> (Real Estate, Rental &amp; Leasing $246 million, </w:t>
      </w:r>
      <w:proofErr w:type="spellStart"/>
      <w:r w:rsidR="00CA2AF6" w:rsidRPr="00CA2AF6">
        <w:rPr>
          <w:sz w:val="28"/>
          <w:szCs w:val="28"/>
        </w:rPr>
        <w:t>Accomodations</w:t>
      </w:r>
      <w:proofErr w:type="spellEnd"/>
      <w:r w:rsidR="00CA2AF6" w:rsidRPr="00CA2AF6">
        <w:rPr>
          <w:sz w:val="28"/>
          <w:szCs w:val="28"/>
        </w:rPr>
        <w:t xml:space="preserve"> &amp; Food $200 million, Retail Trade $187 million)</w:t>
      </w:r>
      <w:r w:rsidR="00980D92" w:rsidRPr="00CA2AF6">
        <w:rPr>
          <w:sz w:val="28"/>
          <w:szCs w:val="28"/>
        </w:rPr>
        <w:t>.</w:t>
      </w:r>
    </w:p>
    <w:p w14:paraId="05F5F9AB" w14:textId="52BDF8D5" w:rsidR="00B20597" w:rsidRDefault="00980D92" w:rsidP="000F6026">
      <w:pPr>
        <w:pStyle w:val="ListParagraph"/>
        <w:numPr>
          <w:ilvl w:val="0"/>
          <w:numId w:val="1"/>
        </w:numPr>
        <w:rPr>
          <w:sz w:val="28"/>
          <w:szCs w:val="28"/>
        </w:rPr>
      </w:pPr>
      <w:r>
        <w:rPr>
          <w:sz w:val="28"/>
          <w:szCs w:val="28"/>
        </w:rPr>
        <w:t xml:space="preserve">The monitoring wells recommended by the permit hydrogeologist </w:t>
      </w:r>
      <w:r w:rsidR="006C161A">
        <w:rPr>
          <w:sz w:val="28"/>
          <w:szCs w:val="28"/>
        </w:rPr>
        <w:t xml:space="preserve">are </w:t>
      </w:r>
      <w:r>
        <w:rPr>
          <w:sz w:val="28"/>
          <w:szCs w:val="28"/>
        </w:rPr>
        <w:t>not mandated until late 2029</w:t>
      </w:r>
      <w:r w:rsidR="006C161A">
        <w:rPr>
          <w:sz w:val="28"/>
          <w:szCs w:val="28"/>
        </w:rPr>
        <w:t>,</w:t>
      </w:r>
      <w:r>
        <w:rPr>
          <w:sz w:val="28"/>
          <w:szCs w:val="28"/>
        </w:rPr>
        <w:t xml:space="preserve"> allowing CAFO to operate for 4 years without proper monitoring.</w:t>
      </w:r>
    </w:p>
    <w:p w14:paraId="36D91A4F" w14:textId="453FB610" w:rsidR="00980D92" w:rsidRDefault="006C161A" w:rsidP="000F6026">
      <w:pPr>
        <w:pStyle w:val="ListParagraph"/>
        <w:numPr>
          <w:ilvl w:val="0"/>
          <w:numId w:val="1"/>
        </w:numPr>
        <w:rPr>
          <w:sz w:val="28"/>
          <w:szCs w:val="28"/>
        </w:rPr>
      </w:pPr>
      <w:r>
        <w:rPr>
          <w:sz w:val="28"/>
          <w:szCs w:val="28"/>
        </w:rPr>
        <w:t>Kellner Fen and Crossroads at Big Creek are e</w:t>
      </w:r>
      <w:r w:rsidR="00980D92">
        <w:rPr>
          <w:sz w:val="28"/>
          <w:szCs w:val="28"/>
        </w:rPr>
        <w:t xml:space="preserve">cologically significant lands within 3 miles of CAFO.  </w:t>
      </w:r>
      <w:r>
        <w:rPr>
          <w:sz w:val="28"/>
          <w:szCs w:val="28"/>
        </w:rPr>
        <w:t>C</w:t>
      </w:r>
      <w:r w:rsidR="00980D92">
        <w:rPr>
          <w:sz w:val="28"/>
          <w:szCs w:val="28"/>
        </w:rPr>
        <w:t xml:space="preserve">itizens of Wisconsin have spent millions to preserve these areas through Knowles-Nelson grants and private donations.  Both areas contain significant wetlands that are surface water and underground spring fed.  Kellner Fen is </w:t>
      </w:r>
      <w:r>
        <w:rPr>
          <w:sz w:val="28"/>
          <w:szCs w:val="28"/>
        </w:rPr>
        <w:t>a recognized</w:t>
      </w:r>
      <w:r w:rsidR="00980D92">
        <w:rPr>
          <w:sz w:val="28"/>
          <w:szCs w:val="28"/>
        </w:rPr>
        <w:t xml:space="preserve"> critical habitat for the federally listed endangered species, the Hines Emerald Dragonfly. </w:t>
      </w:r>
    </w:p>
    <w:p w14:paraId="66F5B832" w14:textId="77777777" w:rsidR="00023BAA" w:rsidRDefault="00023BAA" w:rsidP="009D7B92">
      <w:pPr>
        <w:pStyle w:val="ListParagraph"/>
        <w:rPr>
          <w:sz w:val="28"/>
          <w:szCs w:val="28"/>
        </w:rPr>
      </w:pPr>
    </w:p>
    <w:p w14:paraId="03E0C781" w14:textId="77777777" w:rsidR="00023BAA" w:rsidRDefault="00023BAA" w:rsidP="009D7B92">
      <w:pPr>
        <w:pStyle w:val="ListParagraph"/>
        <w:rPr>
          <w:sz w:val="28"/>
          <w:szCs w:val="28"/>
        </w:rPr>
      </w:pPr>
    </w:p>
    <w:p w14:paraId="7E3655D7" w14:textId="77777777" w:rsidR="009D7B92" w:rsidRPr="009D7B92" w:rsidRDefault="009D7B92" w:rsidP="009D7B92">
      <w:pPr>
        <w:pStyle w:val="yiv9753290858"/>
        <w:shd w:val="clear" w:color="auto" w:fill="FFFFFF"/>
        <w:spacing w:before="180" w:beforeAutospacing="0" w:after="180" w:afterAutospacing="0"/>
        <w:rPr>
          <w:rFonts w:asciiTheme="minorHAnsi" w:hAnsiTheme="minorHAnsi" w:cs="Helvetica"/>
          <w:color w:val="1D2228"/>
          <w:sz w:val="28"/>
          <w:szCs w:val="28"/>
        </w:rPr>
      </w:pPr>
      <w:r w:rsidRPr="009D7B92">
        <w:rPr>
          <w:rStyle w:val="yiv97532908581"/>
          <w:rFonts w:asciiTheme="minorHAnsi" w:eastAsiaTheme="majorEastAsia" w:hAnsiTheme="minorHAnsi" w:cs="Helvetica"/>
          <w:b/>
          <w:bCs/>
          <w:color w:val="1D2228"/>
          <w:sz w:val="28"/>
          <w:szCs w:val="28"/>
        </w:rPr>
        <w:lastRenderedPageBreak/>
        <w:t>Environmental Review Transparency (NR 150)</w:t>
      </w:r>
    </w:p>
    <w:p w14:paraId="058808E7" w14:textId="77777777" w:rsidR="009D7B92" w:rsidRPr="009D7B92" w:rsidRDefault="009D7B92" w:rsidP="009D7B92">
      <w:pPr>
        <w:pStyle w:val="yiv9753290858"/>
        <w:numPr>
          <w:ilvl w:val="0"/>
          <w:numId w:val="2"/>
        </w:numPr>
        <w:shd w:val="clear" w:color="auto" w:fill="FFFFFF"/>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The DNR must do an environmental review for major actions and share it publicly.</w:t>
      </w:r>
    </w:p>
    <w:p w14:paraId="4ECA39B1" w14:textId="77777777" w:rsidR="009D7B92" w:rsidRPr="009D7B92" w:rsidRDefault="009D7B92" w:rsidP="009D7B92">
      <w:pPr>
        <w:pStyle w:val="yiv9753290858"/>
        <w:numPr>
          <w:ilvl w:val="0"/>
          <w:numId w:val="2"/>
        </w:numPr>
        <w:shd w:val="clear" w:color="auto" w:fill="FFFFFF"/>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No environmental review or staff memo is posted for public comment yet.</w:t>
      </w:r>
    </w:p>
    <w:p w14:paraId="3F1428D9" w14:textId="77777777" w:rsidR="009D7B92" w:rsidRPr="009D7B92" w:rsidRDefault="009D7B92" w:rsidP="009D7B92">
      <w:pPr>
        <w:pStyle w:val="yiv9753290858"/>
        <w:numPr>
          <w:ilvl w:val="0"/>
          <w:numId w:val="2"/>
        </w:numPr>
        <w:shd w:val="clear" w:color="auto" w:fill="FFFFFF"/>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Without transparency, local residents can’t understand groundwater risks or explore alternatives.</w:t>
      </w:r>
    </w:p>
    <w:p w14:paraId="036FD5BE" w14:textId="77777777" w:rsidR="009D7B92" w:rsidRPr="009D7B92" w:rsidRDefault="009D7B92" w:rsidP="009D7B92">
      <w:pPr>
        <w:pStyle w:val="yiv9753290858"/>
        <w:shd w:val="clear" w:color="auto" w:fill="FFFFFF"/>
        <w:spacing w:before="180" w:beforeAutospacing="0" w:after="180" w:afterAutospacing="0"/>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Comment options: </w:t>
      </w:r>
    </w:p>
    <w:p w14:paraId="74678362" w14:textId="77777777" w:rsidR="009D7B92" w:rsidRPr="009D7B92" w:rsidRDefault="009D7B92" w:rsidP="009D7B92">
      <w:pPr>
        <w:pStyle w:val="yiv9753290858"/>
        <w:numPr>
          <w:ilvl w:val="0"/>
          <w:numId w:val="3"/>
        </w:numPr>
        <w:shd w:val="clear" w:color="auto" w:fill="FFFFFF"/>
        <w:spacing w:before="240" w:beforeAutospacing="0" w:after="0" w:afterAutospacing="0"/>
        <w:jc w:val="both"/>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Request DNR publish Gilbert’s Environmental Analysis Questionnaire and the internal staff analysis memo before final permit decision.</w:t>
      </w:r>
    </w:p>
    <w:p w14:paraId="42282AA2" w14:textId="77777777" w:rsidR="009D7B92" w:rsidRPr="009D7B92" w:rsidRDefault="009D7B92" w:rsidP="009D7B92">
      <w:pPr>
        <w:pStyle w:val="yiv9753290858"/>
        <w:numPr>
          <w:ilvl w:val="0"/>
          <w:numId w:val="3"/>
        </w:numPr>
        <w:shd w:val="clear" w:color="auto" w:fill="FFFFFF"/>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Ask DNR to host an informational session or open house that walks through NR 150 findings and answers public questions.</w:t>
      </w:r>
    </w:p>
    <w:p w14:paraId="19F84F36" w14:textId="77777777" w:rsidR="009D7B92" w:rsidRPr="009D7B92" w:rsidRDefault="009D7B92" w:rsidP="009D7B92">
      <w:pPr>
        <w:pStyle w:val="yiv9753290858"/>
        <w:numPr>
          <w:ilvl w:val="0"/>
          <w:numId w:val="3"/>
        </w:numPr>
        <w:shd w:val="clear" w:color="auto" w:fill="FFFFFF"/>
        <w:spacing w:before="0" w:beforeAutospacing="0" w:after="380" w:afterAutospacing="0"/>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If new significant information is raised during comments, request that DNR reopen or supplement its analysis before issuing the permit.</w:t>
      </w:r>
    </w:p>
    <w:p w14:paraId="66039398" w14:textId="77777777" w:rsidR="009D7B92" w:rsidRPr="009D7B92" w:rsidRDefault="009D7B92" w:rsidP="009D7B92">
      <w:pPr>
        <w:pStyle w:val="yiv9753290858"/>
        <w:shd w:val="clear" w:color="auto" w:fill="FFFFFF"/>
        <w:spacing w:before="180" w:beforeAutospacing="0" w:after="180" w:afterAutospacing="0"/>
        <w:rPr>
          <w:rFonts w:asciiTheme="minorHAnsi" w:hAnsiTheme="minorHAnsi" w:cs="Helvetica"/>
          <w:color w:val="1D2228"/>
          <w:sz w:val="28"/>
          <w:szCs w:val="28"/>
        </w:rPr>
      </w:pPr>
      <w:r w:rsidRPr="009D7B92">
        <w:rPr>
          <w:rStyle w:val="yiv97532908581"/>
          <w:rFonts w:asciiTheme="minorHAnsi" w:eastAsiaTheme="majorEastAsia" w:hAnsiTheme="minorHAnsi" w:cs="Helvetica"/>
          <w:b/>
          <w:bCs/>
          <w:color w:val="1D2228"/>
          <w:sz w:val="28"/>
          <w:szCs w:val="28"/>
        </w:rPr>
        <w:t>Land Access &amp; Agreements</w:t>
      </w:r>
    </w:p>
    <w:p w14:paraId="32422B46" w14:textId="77777777" w:rsidR="009D7B92" w:rsidRPr="009D7B92" w:rsidRDefault="009D7B92" w:rsidP="009D7B92">
      <w:pPr>
        <w:pStyle w:val="yiv9753290858"/>
        <w:numPr>
          <w:ilvl w:val="0"/>
          <w:numId w:val="4"/>
        </w:numPr>
        <w:shd w:val="clear" w:color="auto" w:fill="FFFFFF"/>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To manage manure safely, the farm needs enough land under legal control—not just unsigned or verbal arrangements.</w:t>
      </w:r>
    </w:p>
    <w:p w14:paraId="2F82FC57" w14:textId="77777777" w:rsidR="009D7B92" w:rsidRPr="009D7B92" w:rsidRDefault="009D7B92" w:rsidP="009D7B92">
      <w:pPr>
        <w:pStyle w:val="yiv9753290858"/>
        <w:numPr>
          <w:ilvl w:val="0"/>
          <w:numId w:val="4"/>
        </w:numPr>
        <w:shd w:val="clear" w:color="auto" w:fill="FFFFFF"/>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Some spreading fields are rented or agreed on verbally, and the final usable land may shrink after bedrock checks.</w:t>
      </w:r>
    </w:p>
    <w:p w14:paraId="4F175C43" w14:textId="77777777" w:rsidR="009D7B92" w:rsidRPr="009D7B92" w:rsidRDefault="009D7B92" w:rsidP="009D7B92">
      <w:pPr>
        <w:pStyle w:val="yiv9753290858"/>
        <w:numPr>
          <w:ilvl w:val="0"/>
          <w:numId w:val="4"/>
        </w:numPr>
        <w:shd w:val="clear" w:color="auto" w:fill="FFFFFF"/>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Not enough land could mean illegal spreading or emergency hauling.</w:t>
      </w:r>
    </w:p>
    <w:p w14:paraId="4E3B5B31" w14:textId="77777777" w:rsidR="009D7B92" w:rsidRPr="009D7B92" w:rsidRDefault="009D7B92" w:rsidP="009D7B92">
      <w:pPr>
        <w:pStyle w:val="yiv9753290858"/>
        <w:shd w:val="clear" w:color="auto" w:fill="FFFFFF"/>
        <w:spacing w:before="180" w:beforeAutospacing="0" w:after="180" w:afterAutospacing="0"/>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Comment options: </w:t>
      </w:r>
    </w:p>
    <w:p w14:paraId="5626535F" w14:textId="77777777" w:rsidR="009D7B92" w:rsidRPr="009D7B92" w:rsidRDefault="009D7B92" w:rsidP="009D7B92">
      <w:pPr>
        <w:pStyle w:val="yiv9753290858"/>
        <w:numPr>
          <w:ilvl w:val="0"/>
          <w:numId w:val="5"/>
        </w:numPr>
        <w:shd w:val="clear" w:color="auto" w:fill="FFFFFF"/>
        <w:spacing w:before="240" w:beforeAutospacing="0" w:after="0" w:afterAutospacing="0"/>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Require signed spreading/export agreements for all non-owned fields before permit approval, with terms covering the 5-year permit window.</w:t>
      </w:r>
    </w:p>
    <w:p w14:paraId="175944EC" w14:textId="77777777" w:rsidR="009D7B92" w:rsidRPr="009D7B92" w:rsidRDefault="009D7B92" w:rsidP="009D7B92">
      <w:pPr>
        <w:pStyle w:val="yiv9753290858"/>
        <w:numPr>
          <w:ilvl w:val="0"/>
          <w:numId w:val="5"/>
        </w:numPr>
        <w:shd w:val="clear" w:color="auto" w:fill="FFFFFF"/>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After field-verified Silurian results are submitted, require DNR to reconfirm land-</w:t>
      </w:r>
      <w:proofErr w:type="spellStart"/>
      <w:r w:rsidRPr="009D7B92">
        <w:rPr>
          <w:rStyle w:val="yiv97532908581"/>
          <w:rFonts w:asciiTheme="minorHAnsi" w:eastAsiaTheme="majorEastAsia" w:hAnsiTheme="minorHAnsi" w:cs="Helvetica"/>
          <w:color w:val="1D2228"/>
          <w:sz w:val="28"/>
          <w:szCs w:val="28"/>
        </w:rPr>
        <w:t>base</w:t>
      </w:r>
      <w:proofErr w:type="spellEnd"/>
      <w:r w:rsidRPr="009D7B92">
        <w:rPr>
          <w:rStyle w:val="yiv97532908581"/>
          <w:rFonts w:asciiTheme="minorHAnsi" w:eastAsiaTheme="majorEastAsia" w:hAnsiTheme="minorHAnsi" w:cs="Helvetica"/>
          <w:color w:val="1D2228"/>
          <w:sz w:val="28"/>
          <w:szCs w:val="28"/>
        </w:rPr>
        <w:t xml:space="preserve"> sufficiency and adjust the NMP if needed.</w:t>
      </w:r>
    </w:p>
    <w:p w14:paraId="56B5CA4E" w14:textId="77777777" w:rsidR="009D7B92" w:rsidRPr="009D7B92" w:rsidRDefault="009D7B92" w:rsidP="009D7B92">
      <w:pPr>
        <w:pStyle w:val="yiv9753290858"/>
        <w:numPr>
          <w:ilvl w:val="0"/>
          <w:numId w:val="5"/>
        </w:numPr>
        <w:shd w:val="clear" w:color="auto" w:fill="FFFFFF"/>
        <w:spacing w:before="0" w:beforeAutospacing="0" w:after="240" w:afterAutospacing="0"/>
        <w:textAlignment w:val="baseline"/>
        <w:rPr>
          <w:rFonts w:asciiTheme="minorHAnsi" w:hAnsiTheme="minorHAnsi" w:cs="Helvetica"/>
          <w:color w:val="1D2228"/>
          <w:sz w:val="28"/>
          <w:szCs w:val="28"/>
        </w:rPr>
      </w:pPr>
      <w:r w:rsidRPr="009D7B92">
        <w:rPr>
          <w:rStyle w:val="yiv97532908581"/>
          <w:rFonts w:asciiTheme="minorHAnsi" w:eastAsiaTheme="majorEastAsia" w:hAnsiTheme="minorHAnsi" w:cs="Helvetica"/>
          <w:color w:val="1D2228"/>
          <w:sz w:val="28"/>
          <w:szCs w:val="28"/>
        </w:rPr>
        <w:t>Require annual certification of land access and any export contracts as a condition of permit continuation.</w:t>
      </w:r>
    </w:p>
    <w:p w14:paraId="541BB479" w14:textId="6FF6D582" w:rsidR="000F6026" w:rsidRPr="000F6026" w:rsidRDefault="000F6026" w:rsidP="00B20597">
      <w:pPr>
        <w:tabs>
          <w:tab w:val="left" w:pos="4590"/>
        </w:tabs>
        <w:ind w:left="360"/>
        <w:rPr>
          <w:sz w:val="28"/>
          <w:szCs w:val="28"/>
        </w:rPr>
      </w:pPr>
    </w:p>
    <w:sectPr w:rsidR="000F6026" w:rsidRPr="000F6026" w:rsidSect="000F60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8037C"/>
    <w:multiLevelType w:val="hybridMultilevel"/>
    <w:tmpl w:val="C144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87484"/>
    <w:multiLevelType w:val="multilevel"/>
    <w:tmpl w:val="5E84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67051"/>
    <w:multiLevelType w:val="multilevel"/>
    <w:tmpl w:val="3570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9006E9"/>
    <w:multiLevelType w:val="multilevel"/>
    <w:tmpl w:val="8B88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FA4D61"/>
    <w:multiLevelType w:val="multilevel"/>
    <w:tmpl w:val="B50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024850">
    <w:abstractNumId w:val="0"/>
  </w:num>
  <w:num w:numId="2" w16cid:durableId="2115318965">
    <w:abstractNumId w:val="3"/>
  </w:num>
  <w:num w:numId="3" w16cid:durableId="667171381">
    <w:abstractNumId w:val="1"/>
  </w:num>
  <w:num w:numId="4" w16cid:durableId="280259643">
    <w:abstractNumId w:val="2"/>
  </w:num>
  <w:num w:numId="5" w16cid:durableId="84884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26"/>
    <w:rsid w:val="00023BAA"/>
    <w:rsid w:val="000F6026"/>
    <w:rsid w:val="0069163F"/>
    <w:rsid w:val="006C161A"/>
    <w:rsid w:val="007D3B94"/>
    <w:rsid w:val="00980D92"/>
    <w:rsid w:val="009D7B92"/>
    <w:rsid w:val="00A66ECE"/>
    <w:rsid w:val="00B20597"/>
    <w:rsid w:val="00CA2AF6"/>
    <w:rsid w:val="00D4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9D79"/>
  <w15:chartTrackingRefBased/>
  <w15:docId w15:val="{69136F13-A7B4-4C7F-8B00-03F2212D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026"/>
    <w:rPr>
      <w:rFonts w:eastAsiaTheme="majorEastAsia" w:cstheme="majorBidi"/>
      <w:color w:val="272727" w:themeColor="text1" w:themeTint="D8"/>
    </w:rPr>
  </w:style>
  <w:style w:type="paragraph" w:styleId="Title">
    <w:name w:val="Title"/>
    <w:basedOn w:val="Normal"/>
    <w:next w:val="Normal"/>
    <w:link w:val="TitleChar"/>
    <w:uiPriority w:val="10"/>
    <w:qFormat/>
    <w:rsid w:val="000F6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026"/>
    <w:pPr>
      <w:spacing w:before="160"/>
      <w:jc w:val="center"/>
    </w:pPr>
    <w:rPr>
      <w:i/>
      <w:iCs/>
      <w:color w:val="404040" w:themeColor="text1" w:themeTint="BF"/>
    </w:rPr>
  </w:style>
  <w:style w:type="character" w:customStyle="1" w:styleId="QuoteChar">
    <w:name w:val="Quote Char"/>
    <w:basedOn w:val="DefaultParagraphFont"/>
    <w:link w:val="Quote"/>
    <w:uiPriority w:val="29"/>
    <w:rsid w:val="000F6026"/>
    <w:rPr>
      <w:i/>
      <w:iCs/>
      <w:color w:val="404040" w:themeColor="text1" w:themeTint="BF"/>
    </w:rPr>
  </w:style>
  <w:style w:type="paragraph" w:styleId="ListParagraph">
    <w:name w:val="List Paragraph"/>
    <w:basedOn w:val="Normal"/>
    <w:uiPriority w:val="34"/>
    <w:qFormat/>
    <w:rsid w:val="000F6026"/>
    <w:pPr>
      <w:ind w:left="720"/>
      <w:contextualSpacing/>
    </w:pPr>
  </w:style>
  <w:style w:type="character" w:styleId="IntenseEmphasis">
    <w:name w:val="Intense Emphasis"/>
    <w:basedOn w:val="DefaultParagraphFont"/>
    <w:uiPriority w:val="21"/>
    <w:qFormat/>
    <w:rsid w:val="000F6026"/>
    <w:rPr>
      <w:i/>
      <w:iCs/>
      <w:color w:val="0F4761" w:themeColor="accent1" w:themeShade="BF"/>
    </w:rPr>
  </w:style>
  <w:style w:type="paragraph" w:styleId="IntenseQuote">
    <w:name w:val="Intense Quote"/>
    <w:basedOn w:val="Normal"/>
    <w:next w:val="Normal"/>
    <w:link w:val="IntenseQuoteChar"/>
    <w:uiPriority w:val="30"/>
    <w:qFormat/>
    <w:rsid w:val="000F6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026"/>
    <w:rPr>
      <w:i/>
      <w:iCs/>
      <w:color w:val="0F4761" w:themeColor="accent1" w:themeShade="BF"/>
    </w:rPr>
  </w:style>
  <w:style w:type="character" w:styleId="IntenseReference">
    <w:name w:val="Intense Reference"/>
    <w:basedOn w:val="DefaultParagraphFont"/>
    <w:uiPriority w:val="32"/>
    <w:qFormat/>
    <w:rsid w:val="000F6026"/>
    <w:rPr>
      <w:b/>
      <w:bCs/>
      <w:smallCaps/>
      <w:color w:val="0F4761" w:themeColor="accent1" w:themeShade="BF"/>
      <w:spacing w:val="5"/>
    </w:rPr>
  </w:style>
  <w:style w:type="paragraph" w:customStyle="1" w:styleId="yiv9753290858">
    <w:name w:val="yiv9753290858"/>
    <w:basedOn w:val="Normal"/>
    <w:rsid w:val="009D7B9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yiv97532908581">
    <w:name w:val="yiv97532908581"/>
    <w:basedOn w:val="DefaultParagraphFont"/>
    <w:rsid w:val="009D7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1445</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Vincent</dc:creator>
  <cp:keywords/>
  <dc:description/>
  <cp:lastModifiedBy>Annette Vincent</cp:lastModifiedBy>
  <cp:revision>8</cp:revision>
  <cp:lastPrinted>2025-10-14T20:12:00Z</cp:lastPrinted>
  <dcterms:created xsi:type="dcterms:W3CDTF">2025-10-12T22:42:00Z</dcterms:created>
  <dcterms:modified xsi:type="dcterms:W3CDTF">2025-10-15T13:12:00Z</dcterms:modified>
</cp:coreProperties>
</file>