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3a6b"/>
          <w:sz w:val="44"/>
          <w:szCs w:val="44"/>
        </w:rPr>
        <w:t xml:space="preserve">LOF 套利雷达  交接日志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v33  ·  2026-03-13  ·  47支QDII LOF基金</w:t>
      </w:r>
    </w:p>
    <w:p>
      <w:pPr>
        <w:pBdr>
          <w:bottom w:val="single" w:color="1a3a6b" w:sz="6" w:space="4"/>
        </w:pBdr>
        <w:spacing w:before="0"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监控程序: lof_arb_monitor_v33.html  ·  回测程序: lof_backtest_v33.html</w:t>
      </w:r>
    </w:p>
    <w:p>
      <w:pPr>
        <w:pStyle w:val="Heading1"/>
        <w:pBdr>
          <w:bottom w:val="single" w:color="1a3a6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一、版本变更历史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v33（2026-03-13，本版）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161116 黄金主题LOF：基准 usGLD → sh518880（持仓核实：联接沪金ETF，盘中实时联动，非境外GLD）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160719 嘉实黄金LOF：基准 usGLD → sh518880（同上，联接沪金ETF）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6b3c"/>
          <w:sz w:val="20"/>
          <w:szCs w:val="20"/>
        </w:rPr>
        <w:t xml:space="preserve">164701 / 165513：维持 usGLD（持仓核实：境外GLD/IAU/GLDM等，v32改动正确）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6b3c"/>
          <w:sz w:val="20"/>
          <w:szCs w:val="20"/>
        </w:rPr>
        <w:t xml:space="preserve">原油2只（161129/160723）：确认维持 usUSO（持仓核实：均为WTI，Brent切换建议撤回）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6b3c"/>
          <w:sz w:val="20"/>
          <w:szCs w:val="20"/>
        </w:rPr>
        <w:t xml:space="preserve">煤炭2只：确认维持现有基准（161725→sz399990等权，161032→sz399998市值加权，各自正确）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v32（2026-03-13）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161124 港股小盘LOF：hkHSI → hkHSSI（东财124.HSSI 已验证）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501303 恒生中型股LOF：hkHSI → hkHSMI（东财124.HSMI 已验证）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160322 港股精选LOF：hkHSI → hkHSCI（东财124.HSCI 已验证，新增降级路径）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164701 / 165513：sh518880 → usGLD（持有境外黄金ETF，GLD更贴近）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顶栏黄金指数：sh518880 → usGLD，label改为[黄金GLD]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UI优化：名称列/价格列删除小字，字体12px→500，badge 13px，.num class统一数字列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顶栏指数文字颜色opacity .28→.75（可见度修复）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v31（2026-03-12~13）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160140 全球房地产LOF：usIYR → usRWR（腾讯验证可用）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501021 科技LOF：→ hkHSTECH（SPHCMSHP私有指数，无公开行情）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港股子指数全面升级：hkHSI → 东财124.HSSI/HSMI/HSCI接口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v29: 13处持仓修正；v30: Q4季报三连确认；全部47只基金核查完毕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a3a6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二、估值基准总表（v33，47只基金）</w:t>
      </w:r>
    </w:p>
    <w:p>
      <w:pPr>
        <w:spacing w:before="60"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回测精度等级：A ≤ 1.0% MAE / Corr ≥ 0.7　B ≤ 1.5% MAE / Corr ≥ 0.4　C 其余或结构性偏差　* 港股子指数corr受东财K线占位影响，实际精度高于显示值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1440"/>
        <w:gridCol w:w="600"/>
        <w:gridCol w:w="2400"/>
        <w:gridCol w:w="480"/>
        <w:gridCol w:w="600"/>
        <w:gridCol w:w="6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代码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估值基准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持仓/说明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回测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160416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石油基金LOF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usIXC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美股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S&amp;P Global Oil Index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0.51%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0.896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162719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石油LOF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usXOP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美股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DJ美国石油开发上游股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0.48%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0.960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162411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华宝油气LOF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usXOP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美股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SPSIOP标普油气上游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0.21%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0.983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163208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全球油气能源LOF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usXLE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美股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S&amp;P 500 Energy成份股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0.63%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0.832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161125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标普消费LOF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usXLP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美股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标普消费品精选行业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161126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标普信息技术LOF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usXLK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美股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标普信息技术行业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161127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标普金融LOF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usXLF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美股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标普金融行业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161128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标普500LOF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usIVV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美股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S&amp;P 500指数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161130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纳指LOF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usQQQ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美股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纳斯达克100指数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161217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全球资源LOF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sz399961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美股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国内上游资源产业指数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跳过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K线空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161715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大宗商品股票LOF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sz399979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美股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大宗商品相关A股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跳过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K线空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160140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全球房地产LOF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usRWR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美股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DJSI美国房地产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501021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科技ETF联接LOF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hkHSTECH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港股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恒生科技指数（暂停申购）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161124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港股小盘LOF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hkHSSI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港股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恒生综合小型股指数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0.94%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0.108*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501303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恒生中型股LOF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hkHSMI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港股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恒生综合中型股指数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0.91%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0.166*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160322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港股精选LOF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hkHSCI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港股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恒生综合指数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5600a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0.177*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501301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恒生LOF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hkHSCEI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港股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恒生中国企业指数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501302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恒生中国企业LOF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hkHSCEI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港股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恒生中国企业指数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164705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港股通LOF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hkHSI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港股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恒生指数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164906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港股LOF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hkHSCEI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港股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恒生中国企业指数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160924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华宝港股LOF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hkHSI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港股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恒生指数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5600a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0.103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501300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南方港股LOF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csi930914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港股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中证港股通综合指数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501305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港股30LOF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csi930914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港股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中证港股通综合指数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0.87%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0.198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161831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恒生LOF(易方达)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hkHSCEI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港股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恒生中国企业指数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5600a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1.15%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0.136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161116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黄金主题LOF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sh518880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商品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沪金ETF联接（v33核实还原）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5600a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1.33%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0.536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164701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黄金LOF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usGLD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商品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境外GLD/IAU ETF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5600a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1.41%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0.545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165513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中信保诚商品LOF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usGLD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商品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境外混合黄金ETF（含DGP杠杆4.25%）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5600a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1.21%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0.566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160719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嘉实黄金LOF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sh518880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商品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沪金ETF联接（v33核实还原）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5600a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1.28%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0.531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161815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抗通胀LOF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加权组合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商品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GLD/IAU/SGOL/BCI/USO等10只加权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0.68%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0.734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160216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国泰商品LOF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加权组合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商品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SGOL/GLD/GLDM/USO/SLV/CPER/XOP精确持仓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161226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国投白银LOF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nf_AG0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商品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沪银主连期货合约（结构性偏差）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2.35%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0.870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501018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南方原油LOF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usUSO×60%+usBNO×40%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原油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WTI60%+Brent40%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5600a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1.42%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0.412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161129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原油LOF(易方达)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usUSO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原油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标普高盛原油指数(WTI为主)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1.66%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0.306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160723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嘉实原油LOF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usUSO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原油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WTI原油期货100%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1.58%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0.330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501025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中证港股通LOF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csi930792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中证港股通AH优选指数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5600a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1.01%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0.193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161725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招商煤炭LOF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sz399990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中证煤炭等权指数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2.06%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0.258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161032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富国煤炭LOF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sz399998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中证煤炭市值加权指数（主动偏离）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2.42%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-0.270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160644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易方达中小盘LOF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csi930855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中证中小盘价值成长指数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501307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建信深港通LOF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csi931184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中证沪深港互联互通指数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501310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鹏华沪港深LOF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csi931184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中证沪深港互联互通指数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501306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广发沪港深LOF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csi931184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中证沪深港互联互通指数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501311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汇添富沪港深LOF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csi931184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中证沪深港互联互通指数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501312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招商沪港深LOF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csi931184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中证沪深港互联互通指数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160717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华安MSCI中国LOF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usXOP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暂用usXOP（待核实）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164824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高华美债LOF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usAGG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美国综合债券指数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501225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华夏科技LOF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6b"/>
                <w:sz w:val="18"/>
                <w:szCs w:val="18"/>
              </w:rPr>
              <w:t xml:space="preserve">usQQQ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纳斯达克100（科技替代）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a3a6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三、待处理事项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🔴 高优先级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2026Q1季报（约2026年4月披露）：更新47只基金持仓权重，重点关注165513/160216/161815等多品种FOF的仓位变化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501021 SPHCMSHP数据源：基金暂停申购，监控意义有限；恢复申购后再处理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🟡 中优先级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黄金4只嵌入真实GLD历史K线（Stooq gld.us CSV）：预期161116/160719 corr从0.53提升至0.85+；164701/165513 corr同步提升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港股子指数K线：东财push2his尚未开放hkHSSI/HSMI/HSCI历史数据；待开放后回测corr可从0.1提升至真实水平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160717 华安MSCI中国LOF：当前基准usXOP为临时占位，需核实实际跟踪指数并修正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🟢 低优先级 / 观察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161725 招商煤炭LOF：corr=0.258异常偏低，已确认基准正确（sz399990等权）；疑似主动管理偏离，持续观察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161226 国投白银LOF：corr=0.870但MAE=2.35%，结构性价差（A股白银vs沪银期货），无法通过换基准修复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161129/160723 原油2只：corr约0.3，USO本身roll cost结构性损耗，非基准问题，属精度天花板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后端架构：当前纯HTML方案受file://协议CORS限制，无法直连Yahoo/Stooq；迁移HTTP服务器后可扩展数据源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a3a6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四、数据接口备忘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接口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腾讯行情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实时价格/涨跌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https://qt.gtimg.cn/q=CODE1,CODE2  (JSONP)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东财实时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A股/港股/US ETF实时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push2.eastmoney.com/api/qt/stock/get?secid=PREFIX.CODE&amp;fields=f43,f169,f170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天天基金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T-1官方净值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fundgz.1234567.com.cn/js/{CODE}.js  (JSONP)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东财历史K线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回测K线数据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push2his.eastmoney.com/api/qt/stock/kline/get?secid={secid}&amp;lmt=140&amp;klt=101&amp;fqt=1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Stooq内嵌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回测补充K线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港股HSI/HSCEI/HSTECH、QQQ/SMH/COMT、nf_AG0等（已内嵌JSON，离线可用）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集思录净值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优先净值源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www.jisilu.cn/data/lof/detail_hists/?code=CODE（登录态cookie）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东财pingzhong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备用净值源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fundgz.1234567.com.cn 备用（部分基金缺失）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东财 secid 前缀速查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市场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示例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沪A/ETF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1.518880 (sh518880沪金ETF)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深A/ETF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0.399998 (sz399998)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港股主板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116.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116.HSI (恒生指数)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港股子指数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124.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124.HSSI / 124.HSMI / 124.HSCI (v32新增，已验证)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美股ETF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107.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107.GLD / 107.USO / 107.BNO / 107.XLE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期货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nf_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nf_AG0 (沪银主连，Stooq内嵌)</w:t>
            </w:r>
          </w:p>
        </w:tc>
      </w:tr>
    </w:tbl>
    <w:sectPr>
      <w:footerReference w:type="default" r:id="rId6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LOF套利雷达 交接日志 v33  ·  2026-03-13  ·  第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2026-03-13T13:58:31.280Z</dcterms:created>
  <dcterms:modified xsi:type="dcterms:W3CDTF">2026-03-13T13:58:31.281Z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