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Archetype Consulting</w:t>
      </w:r>
    </w:p>
    <w:p>
      <w:pPr>
        <w:spacing w:after="40"/>
      </w:pPr>
      <w:r>
        <w:rPr>
          <w:color w:val="C07840"/>
          <w:sz w:val="32"/>
          <w:szCs w:val="32"/>
        </w:rPr>
        <w:t xml:space="preserve">Business Model &amp; Productized Service Pricing</w:t>
      </w:r>
    </w:p>
    <w:p>
      <w:pPr>
        <w:pBdr>
          <w:bottom w:val="single" w:color="C07840" w:sz="6" w:space="1"/>
        </w:pBdr>
        <w:spacing w:after="400"/>
      </w:pPr>
      <w:r>
        <w:rPr>
          <w:color w:val="555555"/>
          <w:sz w:val="20"/>
          <w:szCs w:val="20"/>
        </w:rPr>
        <w:t xml:space="preserve">Draft for Discussion  |  February 2026</w:t>
      </w:r>
    </w:p>
    <w:p>
      <w:pPr>
        <w:pStyle w:val="Heading1"/>
      </w:pPr>
      <w:r>
        <w:t xml:space="preserve">Strategic Context</w:t>
      </w:r>
    </w:p>
    <w:p>
      <w:pPr>
        <w:spacing w:after="160"/>
      </w:pPr>
      <w:r>
        <w:t xml:space="preserve">Andy’s site positions Archetype as a fractional CTO practice for growth-stage companies. The current site communicates three value propositions: security programs, AI/automation enablement, and product/engineering leadership. This document proposes a business model that productizes these into clear, purchasable services while maintaining the high-touch, embedded nature that differentiates Andy from agencies and contractors.</w:t>
      </w:r>
    </w:p>
    <w:p>
      <w:pPr>
        <w:spacing w:after="160"/>
      </w:pPr>
      <w:r>
        <w:t xml:space="preserve">The fractional CTO market has matured significantly. Monthly retainers for experienced practitioners range from $5,000–25,000/month, with specialists in cybersecurity and AI commanding 30%+ premiums. Andy’s combination of security, AI, and product leadership is genuinely unusual and should command pricing in the upper tier.</w:t>
      </w:r>
    </w:p>
    <w:p>
      <w:pPr>
        <w:pStyle w:val="Heading1"/>
      </w:pPr>
      <w:r>
        <w:t xml:space="preserve">Service Architecture</w:t>
      </w:r>
    </w:p>
    <w:p>
      <w:pPr>
        <w:spacing w:after="160"/>
      </w:pPr>
      <w:r>
        <w:t xml:space="preserve">The model is built around three tiers: a one-time diagnostic engagement (the “front door”), ongoing fractional CTO retainers (the core business), and scoped project work (for specific deliverables). This gives prospects a low-commitment entry point while the real revenue comes from retained relationships.</w:t>
      </w:r>
    </w:p>
    <w:p>
      <w:pPr>
        <w:pStyle w:val="Heading2"/>
      </w:pPr>
      <w:r>
        <w:t xml:space="preserve">Tier 1: Technical Diagnostic (Front Door)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week engagement, ~20–30 hours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$7,500–$12,500 (fixed fee)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Written assessment: security posture, infrastructure review, AI readiness, prioritized roadmap with cost estimates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Qualify fit, demonstrate value, create urgency for ongoing engagement. The diagnostic naturally surfaces the problems the retainer solves.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Conversion 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60–70% of diagnostics convert to Tier 2 retainers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Tier 2: Fractional CTO Retainer (Core Business)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Essentials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 hrs/month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~40 hrs/month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~60–80 hrs/month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$8,000/month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$15,000/month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$22,000–28,000/month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oversight, quarterly reviews, incident response availability, Slack access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Everything in Essentials + AI workflow implementation, vendor management, team mentoring, weekly syncs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Everything in Standard + hands-on implementation, hiring/firing decisions, board-level reporting, on-call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for: Post-diagnostic, security-focused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for: Companies actively building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for: Pre-hire CTO replacement</w:t>
            </w:r>
          </w:p>
        </w:tc>
      </w:tr>
    </w:tbl>
    <w:p>
      <w:pPr>
        <w:spacing w:after="80"/>
      </w:pPr>
      <w:r>
        <w:t xml:space="preserve">All retainers are month-to-month after a 3-month initial commitment. This is standard in the market and ensures both sides are committed to the relationship.</w:t>
      </w:r>
    </w:p>
    <w:p>
      <w:pPr>
        <w:spacing w:after="200"/>
      </w:pPr>
      <w:r>
        <w:t xml:space="preserve">At 2–3 concurrent clients on Standard plans, this generates $360K–$540K in annual revenue with manageable utilization. The Embedded tier should be limited to one client at a time.</w:t>
      </w:r>
    </w:p>
    <w:p>
      <w:pPr>
        <w:pStyle w:val="Heading2"/>
      </w:pPr>
      <w:r>
        <w:t xml:space="preserve">Tier 3: Scoped Projects (Supplemental)</w:t>
      </w:r>
    </w:p>
    <w:p>
      <w:pPr>
        <w:spacing w:after="160"/>
      </w:pPr>
      <w:r>
        <w:t xml:space="preserve">These are discrete, deliverable-defined engagements that can be sold standalone or as add-ons to retainer clients: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2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Price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Program Build-Out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$25,000–$45,000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Workflow Implementation (per workflow)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$8,000–$15,000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 Readiness (SOC 2 / audit prep)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$20,000–$35,000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8–12 weeks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Due Diligence (for investors)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$5,000–$10,000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Engineering Org Assessment &amp; Hiring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$12,000–$20,000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Revenue Model &amp; Capacity</w:t>
      </w:r>
    </w:p>
    <w:p>
      <w:pPr>
        <w:spacing w:after="160"/>
      </w:pPr>
      <w:r>
        <w:t xml:space="preserve">The key constraint is Andy’s time. Assuming ~160 billable hours/month (80% utilization on a 200-hour month), here are three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Retainer Clients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Standard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Standard + 1 Essentials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Embedded + 2 Standard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Retainer Rev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$30,000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$38,000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$55,000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Rev (annual)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$50,000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$80,000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Diagnostic Rev (annual)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$30,000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$45,000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$25,000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Annual Revenue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$440,000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$581,000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$745,000</w:t>
            </w:r>
          </w:p>
        </w:tc>
      </w:tr>
    </w:tbl>
    <w:p>
      <w:pPr>
        <w:pStyle w:val="Heading1"/>
      </w:pPr>
      <w:r>
        <w:t xml:space="preserve">Pricing Philosophy</w:t>
      </w:r>
    </w:p>
    <w:p>
      <w:pPr>
        <w:spacing w:after="160"/>
      </w:pPr>
      <w:r>
        <w:rPr>
          <w:b/>
          <w:bCs/>
        </w:rPr>
        <w:t xml:space="preserve">Lead with outcomes: </w:t>
      </w:r>
      <w:r>
        <w:t xml:space="preserve">Value-based, not hourly. </w:t>
      </w:r>
    </w:p>
    <w:p>
      <w:pPr>
        <w:spacing w:after="160"/>
      </w:pPr>
      <w:r>
        <w:rPr>
          <w:b/>
          <w:bCs/>
        </w:rPr>
        <w:t xml:space="preserve">Low-friction entry: </w:t>
      </w:r>
      <w:r>
        <w:t xml:space="preserve">The diagnostic is the wedge. </w:t>
      </w:r>
    </w:p>
    <w:p>
      <w:pPr>
        <w:spacing w:after="160"/>
      </w:pPr>
      <w:r>
        <w:t xml:space="preserve">Don’t publish exact prices on the site—but do signal the engagement model. Something like: “Engagements typically begin with a 2–3 week diagnostic, followed by an ongoing retainer tailored to your needs. Most clients invest $8,000–$15,000/month.” This filters out companies that can’t afford the service while keeping the door open for conversation.</w:t>
      </w:r>
    </w:p>
    <w:p>
      <w:pPr>
        <w:pStyle w:val="Heading1"/>
      </w:pPr>
      <w:r>
        <w:t xml:space="preserve">What to Put on the Website</w:t>
      </w:r>
    </w:p>
    <w:p>
      <w:pPr>
        <w:spacing w:after="160"/>
      </w:pPr>
      <w:r>
        <w:t xml:space="preserve">Add a “How It Works” section between the case studies and the contact form with three steps: (1) We start with a diagnostic to understand your situation, (2) I propose a plan with clear deliverables and timeline, (3) Ongoing retainer for continuous security, AI, and infrastructure leadership. This gives prospects a mental model of the engagement without committing to specific prices.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Confidential — Archetype Consulting Business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C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2026-02-28T00:25:19.445Z</dcterms:created>
  <dcterms:modified xsi:type="dcterms:W3CDTF">2026-02-28T00:25:19.446Z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