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A1A1A"/>
          <w:sz w:val="44"/>
          <w:szCs w:val="44"/>
        </w:rPr>
        <w:t xml:space="preserve">Archetype Consulting</w:t>
      </w:r>
    </w:p>
    <w:p>
      <w:pPr>
        <w:spacing w:after="40"/>
      </w:pPr>
      <w:r>
        <w:rPr>
          <w:color w:val="C07840"/>
          <w:sz w:val="32"/>
          <w:szCs w:val="32"/>
        </w:rPr>
        <w:t xml:space="preserve">Website QA &amp; Strategic Critique</w:t>
      </w:r>
    </w:p>
    <w:p>
      <w:pPr>
        <w:spacing w:after="120"/>
      </w:pPr>
      <w:r>
        <w:rPr>
          <w:color w:val="555555"/>
          <w:sz w:val="22"/>
          <w:szCs w:val="22"/>
        </w:rPr>
        <w:t xml:space="preserve">archetypeconsulting.io</w:t>
      </w:r>
    </w:p>
    <w:p>
      <w:pPr>
        <w:pBdr>
          <w:bottom w:val="single" w:color="C07840" w:sz="6" w:space="1"/>
        </w:pBdr>
        <w:spacing w:after="400"/>
      </w:pPr>
      <w:r>
        <w:rPr>
          <w:color w:val="555555"/>
          <w:sz w:val="20"/>
          <w:szCs w:val="20"/>
        </w:rPr>
        <w:t xml:space="preserve">Prepared: February 28, 2026  |  By: Andrew Hoppin (via Claude)</w:t>
      </w:r>
    </w:p>
    <w:p>
      <w:pPr>
        <w:pStyle w:val="Heading1"/>
      </w:pPr>
      <w:r>
        <w:t xml:space="preserve">Executive Summary</w:t>
      </w:r>
    </w:p>
    <w:p>
      <w:pPr>
        <w:spacing w:after="200"/>
      </w:pPr>
      <w:r>
        <w:t xml:space="preserve">Andy’s site is a strong foundation for a fractional CTO practice. The positioning is clear, the tone is confident without being arrogant, and the single-page structure is appropriate for a solo consultancy. The copy is the standout—it meets prospects where they are and builds credibility through specificity rather than jargon. However, there are several issues that should be addressed before the site is actively promoted: three copy typos, a significant layout bug, missing SEO metadata, and some strategic gaps in how the service offering is framed. Below is a detailed breakdown across six dimensions.</w:t>
      </w:r>
    </w:p>
    <w:p>
      <w:pPr>
        <w:pStyle w:val="Heading1"/>
      </w:pPr>
      <w:r>
        <w:t xml:space="preserve">Issue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560"/>
        <w:gridCol w:w="2400"/>
      </w:tblGrid>
      <w:tr>
        <w:tc>
          <w:tcPr>
            <w:tcW w:type="dxa" w:w="1400"/>
            <w:tcBorders>
              <w:top w:val="single" w:color="DDDDDD" w:sz="1"/>
              <w:left w:val="single" w:color="DDDDDD" w:sz="1"/>
              <w:bottom w:val="single" w:color="DDDDDD" w:sz="1"/>
              <w:right w:val="single" w:color="DDDDDD" w:sz="1"/>
            </w:tcBorders>
            <w:shd w:fill="C07840"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5560"/>
            <w:tcBorders>
              <w:top w:val="single" w:color="DDDDDD" w:sz="1"/>
              <w:left w:val="single" w:color="DDDDDD" w:sz="1"/>
              <w:bottom w:val="single" w:color="DDDDDD" w:sz="1"/>
              <w:right w:val="single" w:color="DDDDDD" w:sz="1"/>
            </w:tcBorders>
            <w:shd w:fill="C07840"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2400"/>
            <w:tcBorders>
              <w:top w:val="single" w:color="DDDDDD" w:sz="1"/>
              <w:left w:val="single" w:color="DDDDDD" w:sz="1"/>
              <w:bottom w:val="single" w:color="DDDDDD" w:sz="1"/>
              <w:right w:val="single" w:color="DDDDDD" w:sz="1"/>
            </w:tcBorders>
            <w:shd w:fill="C07840" w:val="clear"/>
            <w:tcMar>
              <w:top w:type="dxa" w:w="80"/>
              <w:left w:type="dxa" w:w="120"/>
              <w:bottom w:type="dxa" w:w="80"/>
              <w:right w:type="dxa" w:w="120"/>
            </w:tcMar>
          </w:tcPr>
          <w:p>
            <w:r>
              <w:rPr>
                <w:rFonts w:ascii="Arial" w:cs="Arial" w:eastAsia="Arial" w:hAnsi="Arial"/>
                <w:b/>
                <w:bCs/>
                <w:color w:val="FFFFFF"/>
                <w:sz w:val="20"/>
                <w:szCs w:val="20"/>
              </w:rPr>
              <w:t xml:space="preserve">Category</w:t>
            </w:r>
          </w:p>
        </w:tc>
      </w:tr>
      <w:tr>
        <w:tc>
          <w:tcPr>
            <w:tcW w:type="dxa" w:w="1400"/>
            <w:tcBorders>
              <w:top w:val="single" w:color="DDDDDD" w:sz="1"/>
              <w:left w:val="single" w:color="DDDDDD" w:sz="1"/>
              <w:bottom w:val="single" w:color="DDDDDD" w:sz="1"/>
              <w:right w:val="single" w:color="DDDDDD" w:sz="1"/>
            </w:tcBorders>
            <w:shd w:fill="FDE8E8" w:val="clear"/>
            <w:tcMar>
              <w:top w:type="dxa" w:w="60"/>
              <w:left w:type="dxa" w:w="120"/>
              <w:bottom w:type="dxa" w:w="60"/>
              <w:right w:type="dxa" w:w="120"/>
            </w:tcMar>
          </w:tcPr>
          <w:p>
            <w:r>
              <w:rPr>
                <w:rFonts w:ascii="Arial" w:cs="Arial" w:eastAsia="Arial" w:hAnsi="Arial"/>
                <w:b/>
                <w:bCs/>
                <w:sz w:val="18"/>
                <w:szCs w:val="18"/>
              </w:rPr>
              <w:t xml:space="preserve">P0 — Fix Now</w:t>
            </w:r>
          </w:p>
        </w:tc>
        <w:tc>
          <w:tcPr>
            <w:tcW w:type="dxa" w:w="5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Typo: “It’s was so easy” → “It was so easy”</w:t>
            </w:r>
          </w:p>
        </w:tc>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555555"/>
                <w:sz w:val="20"/>
                <w:szCs w:val="20"/>
              </w:rPr>
              <w:t xml:space="preserve">Copy</w:t>
            </w:r>
          </w:p>
        </w:tc>
      </w:tr>
      <w:tr>
        <w:tc>
          <w:tcPr>
            <w:tcW w:type="dxa" w:w="1400"/>
            <w:tcBorders>
              <w:top w:val="single" w:color="DDDDDD" w:sz="1"/>
              <w:left w:val="single" w:color="DDDDDD" w:sz="1"/>
              <w:bottom w:val="single" w:color="DDDDDD" w:sz="1"/>
              <w:right w:val="single" w:color="DDDDDD" w:sz="1"/>
            </w:tcBorders>
            <w:shd w:fill="FDE8E8" w:val="clear"/>
            <w:tcMar>
              <w:top w:type="dxa" w:w="60"/>
              <w:left w:type="dxa" w:w="120"/>
              <w:bottom w:type="dxa" w:w="60"/>
              <w:right w:type="dxa" w:w="120"/>
            </w:tcMar>
          </w:tcPr>
          <w:p>
            <w:r>
              <w:rPr>
                <w:rFonts w:ascii="Arial" w:cs="Arial" w:eastAsia="Arial" w:hAnsi="Arial"/>
                <w:b/>
                <w:bCs/>
                <w:sz w:val="18"/>
                <w:szCs w:val="18"/>
              </w:rPr>
              <w:t xml:space="preserve">P0 — Fix Now</w:t>
            </w:r>
          </w:p>
        </w:tc>
        <w:tc>
          <w:tcPr>
            <w:tcW w:type="dxa" w:w="5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Typo: “benefiting form AI” → “benefiting from AI”</w:t>
            </w:r>
          </w:p>
        </w:tc>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555555"/>
                <w:sz w:val="20"/>
                <w:szCs w:val="20"/>
              </w:rPr>
              <w:t xml:space="preserve">Copy</w:t>
            </w:r>
          </w:p>
        </w:tc>
      </w:tr>
      <w:tr>
        <w:tc>
          <w:tcPr>
            <w:tcW w:type="dxa" w:w="1400"/>
            <w:tcBorders>
              <w:top w:val="single" w:color="DDDDDD" w:sz="1"/>
              <w:left w:val="single" w:color="DDDDDD" w:sz="1"/>
              <w:bottom w:val="single" w:color="DDDDDD" w:sz="1"/>
              <w:right w:val="single" w:color="DDDDDD" w:sz="1"/>
            </w:tcBorders>
            <w:shd w:fill="FDE8E8" w:val="clear"/>
            <w:tcMar>
              <w:top w:type="dxa" w:w="60"/>
              <w:left w:type="dxa" w:w="120"/>
              <w:bottom w:type="dxa" w:w="60"/>
              <w:right w:type="dxa" w:w="120"/>
            </w:tcMar>
          </w:tcPr>
          <w:p>
            <w:r>
              <w:rPr>
                <w:rFonts w:ascii="Arial" w:cs="Arial" w:eastAsia="Arial" w:hAnsi="Arial"/>
                <w:b/>
                <w:bCs/>
                <w:sz w:val="18"/>
                <w:szCs w:val="18"/>
              </w:rPr>
              <w:t xml:space="preserve">P0 — Fix Now</w:t>
            </w:r>
          </w:p>
        </w:tc>
        <w:tc>
          <w:tcPr>
            <w:tcW w:type="dxa" w:w="5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Typo: “Crowdstrke” → “CrowdStrike”</w:t>
            </w:r>
          </w:p>
        </w:tc>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555555"/>
                <w:sz w:val="20"/>
                <w:szCs w:val="20"/>
              </w:rPr>
              <w:t xml:space="preserve">Copy</w:t>
            </w:r>
          </w:p>
        </w:tc>
      </w:tr>
      <w:tr>
        <w:tc>
          <w:tcPr>
            <w:tcW w:type="dxa" w:w="1400"/>
            <w:tcBorders>
              <w:top w:val="single" w:color="DDDDDD" w:sz="1"/>
              <w:left w:val="single" w:color="DDDDDD" w:sz="1"/>
              <w:bottom w:val="single" w:color="DDDDDD" w:sz="1"/>
              <w:right w:val="single" w:color="DDDDDD" w:sz="1"/>
            </w:tcBorders>
            <w:shd w:fill="FFF3CD" w:val="clear"/>
            <w:tcMar>
              <w:top w:type="dxa" w:w="60"/>
              <w:left w:type="dxa" w:w="120"/>
              <w:bottom w:type="dxa" w:w="60"/>
              <w:right w:type="dxa" w:w="120"/>
            </w:tcMar>
          </w:tcPr>
          <w:p>
            <w:r>
              <w:rPr>
                <w:rFonts w:ascii="Arial" w:cs="Arial" w:eastAsia="Arial" w:hAnsi="Arial"/>
                <w:b/>
                <w:bCs/>
                <w:sz w:val="18"/>
                <w:szCs w:val="18"/>
              </w:rPr>
              <w:t xml:space="preserve">P1 — Pre-Launch</w:t>
            </w:r>
          </w:p>
        </w:tc>
        <w:tc>
          <w:tcPr>
            <w:tcW w:type="dxa" w:w="5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Large empty whitespace gap between case studies and capabilities sections</w:t>
            </w:r>
          </w:p>
        </w:tc>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555555"/>
                <w:sz w:val="20"/>
                <w:szCs w:val="20"/>
              </w:rPr>
              <w:t xml:space="preserve">Layout/CSS</w:t>
            </w:r>
          </w:p>
        </w:tc>
      </w:tr>
      <w:tr>
        <w:tc>
          <w:tcPr>
            <w:tcW w:type="dxa" w:w="1400"/>
            <w:tcBorders>
              <w:top w:val="single" w:color="DDDDDD" w:sz="1"/>
              <w:left w:val="single" w:color="DDDDDD" w:sz="1"/>
              <w:bottom w:val="single" w:color="DDDDDD" w:sz="1"/>
              <w:right w:val="single" w:color="DDDDDD" w:sz="1"/>
            </w:tcBorders>
            <w:shd w:fill="FFF3CD" w:val="clear"/>
            <w:tcMar>
              <w:top w:type="dxa" w:w="60"/>
              <w:left w:type="dxa" w:w="120"/>
              <w:bottom w:type="dxa" w:w="60"/>
              <w:right w:type="dxa" w:w="120"/>
            </w:tcMar>
          </w:tcPr>
          <w:p>
            <w:r>
              <w:rPr>
                <w:rFonts w:ascii="Arial" w:cs="Arial" w:eastAsia="Arial" w:hAnsi="Arial"/>
                <w:b/>
                <w:bCs/>
                <w:sz w:val="18"/>
                <w:szCs w:val="18"/>
              </w:rPr>
              <w:t xml:space="preserve">P1 — Pre-Launch</w:t>
            </w:r>
          </w:p>
        </w:tc>
        <w:tc>
          <w:tcPr>
            <w:tcW w:type="dxa" w:w="5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Missing Open Graph tags (og:title, og:description, og:image)</w:t>
            </w:r>
          </w:p>
        </w:tc>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555555"/>
                <w:sz w:val="20"/>
                <w:szCs w:val="20"/>
              </w:rPr>
              <w:t xml:space="preserve">SEO</w:t>
            </w:r>
          </w:p>
        </w:tc>
      </w:tr>
      <w:tr>
        <w:tc>
          <w:tcPr>
            <w:tcW w:type="dxa" w:w="1400"/>
            <w:tcBorders>
              <w:top w:val="single" w:color="DDDDDD" w:sz="1"/>
              <w:left w:val="single" w:color="DDDDDD" w:sz="1"/>
              <w:bottom w:val="single" w:color="DDDDDD" w:sz="1"/>
              <w:right w:val="single" w:color="DDDDDD" w:sz="1"/>
            </w:tcBorders>
            <w:shd w:fill="FFF3CD" w:val="clear"/>
            <w:tcMar>
              <w:top w:type="dxa" w:w="60"/>
              <w:left w:type="dxa" w:w="120"/>
              <w:bottom w:type="dxa" w:w="60"/>
              <w:right w:type="dxa" w:w="120"/>
            </w:tcMar>
          </w:tcPr>
          <w:p>
            <w:r>
              <w:rPr>
                <w:rFonts w:ascii="Arial" w:cs="Arial" w:eastAsia="Arial" w:hAnsi="Arial"/>
                <w:b/>
                <w:bCs/>
                <w:sz w:val="18"/>
                <w:szCs w:val="18"/>
              </w:rPr>
              <w:t xml:space="preserve">P1 — Pre-Launch</w:t>
            </w:r>
          </w:p>
        </w:tc>
        <w:tc>
          <w:tcPr>
            <w:tcW w:type="dxa" w:w="5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Missing favicon</w:t>
            </w:r>
          </w:p>
        </w:tc>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555555"/>
                <w:sz w:val="20"/>
                <w:szCs w:val="20"/>
              </w:rPr>
              <w:t xml:space="preserve">Technical</w:t>
            </w:r>
          </w:p>
        </w:tc>
      </w:tr>
      <w:tr>
        <w:tc>
          <w:tcPr>
            <w:tcW w:type="dxa" w:w="1400"/>
            <w:tcBorders>
              <w:top w:val="single" w:color="DDDDDD" w:sz="1"/>
              <w:left w:val="single" w:color="DDDDDD" w:sz="1"/>
              <w:bottom w:val="single" w:color="DDDDDD" w:sz="1"/>
              <w:right w:val="single" w:color="DDDDDD" w:sz="1"/>
            </w:tcBorders>
            <w:shd w:fill="FFF3CD" w:val="clear"/>
            <w:tcMar>
              <w:top w:type="dxa" w:w="60"/>
              <w:left w:type="dxa" w:w="120"/>
              <w:bottom w:type="dxa" w:w="60"/>
              <w:right w:type="dxa" w:w="120"/>
            </w:tcMar>
          </w:tcPr>
          <w:p>
            <w:r>
              <w:rPr>
                <w:rFonts w:ascii="Arial" w:cs="Arial" w:eastAsia="Arial" w:hAnsi="Arial"/>
                <w:b/>
                <w:bCs/>
                <w:sz w:val="18"/>
                <w:szCs w:val="18"/>
              </w:rPr>
              <w:t xml:space="preserve">P1 — Pre-Launch</w:t>
            </w:r>
          </w:p>
        </w:tc>
        <w:tc>
          <w:tcPr>
            <w:tcW w:type="dxa" w:w="5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Missing canonical URL</w:t>
            </w:r>
          </w:p>
        </w:tc>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555555"/>
                <w:sz w:val="20"/>
                <w:szCs w:val="20"/>
              </w:rPr>
              <w:t xml:space="preserve">SEO</w:t>
            </w:r>
          </w:p>
        </w:tc>
      </w:tr>
      <w:tr>
        <w:tc>
          <w:tcPr>
            <w:tcW w:type="dxa" w:w="1400"/>
            <w:tcBorders>
              <w:top w:val="single" w:color="DDDDDD" w:sz="1"/>
              <w:left w:val="single" w:color="DDDDDD" w:sz="1"/>
              <w:bottom w:val="single" w:color="DDDDDD" w:sz="1"/>
              <w:right w:val="single" w:color="DDDDDD" w:sz="1"/>
            </w:tcBorders>
            <w:shd w:fill="FFF3CD" w:val="clear"/>
            <w:tcMar>
              <w:top w:type="dxa" w:w="60"/>
              <w:left w:type="dxa" w:w="120"/>
              <w:bottom w:type="dxa" w:w="60"/>
              <w:right w:type="dxa" w:w="120"/>
            </w:tcMar>
          </w:tcPr>
          <w:p>
            <w:r>
              <w:rPr>
                <w:rFonts w:ascii="Arial" w:cs="Arial" w:eastAsia="Arial" w:hAnsi="Arial"/>
                <w:b/>
                <w:bCs/>
                <w:sz w:val="18"/>
                <w:szCs w:val="18"/>
              </w:rPr>
              <w:t xml:space="preserve">P1 — Pre-Launch</w:t>
            </w:r>
          </w:p>
        </w:tc>
        <w:tc>
          <w:tcPr>
            <w:tcW w:type="dxa" w:w="5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Testimonial images missing alt text (accessibility)</w:t>
            </w:r>
          </w:p>
        </w:tc>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555555"/>
                <w:sz w:val="20"/>
                <w:szCs w:val="20"/>
              </w:rPr>
              <w:t xml:space="preserve">Accessibility</w:t>
            </w:r>
          </w:p>
        </w:tc>
      </w:tr>
      <w:tr>
        <w:tc>
          <w:tcPr>
            <w:tcW w:type="dxa" w:w="1400"/>
            <w:tcBorders>
              <w:top w:val="single" w:color="DDDDDD" w:sz="1"/>
              <w:left w:val="single" w:color="DDDDDD" w:sz="1"/>
              <w:bottom w:val="single" w:color="DDDDDD" w:sz="1"/>
              <w:right w:val="single" w:color="DDDDDD" w:sz="1"/>
            </w:tcBorders>
            <w:shd w:fill="E8F4FD" w:val="clear"/>
            <w:tcMar>
              <w:top w:type="dxa" w:w="60"/>
              <w:left w:type="dxa" w:w="120"/>
              <w:bottom w:type="dxa" w:w="60"/>
              <w:right w:type="dxa" w:w="120"/>
            </w:tcMar>
          </w:tcPr>
          <w:p>
            <w:r>
              <w:rPr>
                <w:rFonts w:ascii="Arial" w:cs="Arial" w:eastAsia="Arial" w:hAnsi="Arial"/>
                <w:b/>
                <w:bCs/>
                <w:sz w:val="18"/>
                <w:szCs w:val="18"/>
              </w:rPr>
              <w:t xml:space="preserve">P2 — Soon</w:t>
            </w:r>
          </w:p>
        </w:tc>
        <w:tc>
          <w:tcPr>
            <w:tcW w:type="dxa" w:w="5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Benefits section shows only one card at a time on desktop; consider 2x2 grid</w:t>
            </w:r>
          </w:p>
        </w:tc>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555555"/>
                <w:sz w:val="20"/>
                <w:szCs w:val="20"/>
              </w:rPr>
              <w:t xml:space="preserve">UX/Design</w:t>
            </w:r>
          </w:p>
        </w:tc>
      </w:tr>
      <w:tr>
        <w:tc>
          <w:tcPr>
            <w:tcW w:type="dxa" w:w="1400"/>
            <w:tcBorders>
              <w:top w:val="single" w:color="DDDDDD" w:sz="1"/>
              <w:left w:val="single" w:color="DDDDDD" w:sz="1"/>
              <w:bottom w:val="single" w:color="DDDDDD" w:sz="1"/>
              <w:right w:val="single" w:color="DDDDDD" w:sz="1"/>
            </w:tcBorders>
            <w:shd w:fill="E8F4FD" w:val="clear"/>
            <w:tcMar>
              <w:top w:type="dxa" w:w="60"/>
              <w:left w:type="dxa" w:w="120"/>
              <w:bottom w:type="dxa" w:w="60"/>
              <w:right w:type="dxa" w:w="120"/>
            </w:tcMar>
          </w:tcPr>
          <w:p>
            <w:r>
              <w:rPr>
                <w:rFonts w:ascii="Arial" w:cs="Arial" w:eastAsia="Arial" w:hAnsi="Arial"/>
                <w:b/>
                <w:bCs/>
                <w:sz w:val="18"/>
                <w:szCs w:val="18"/>
              </w:rPr>
              <w:t xml:space="preserve">P2 — Soon</w:t>
            </w:r>
          </w:p>
        </w:tc>
        <w:tc>
          <w:tcPr>
            <w:tcW w:type="dxa" w:w="5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Gray-on-beige body text may fail WCAG AA contrast ratio</w:t>
            </w:r>
          </w:p>
        </w:tc>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555555"/>
                <w:sz w:val="20"/>
                <w:szCs w:val="20"/>
              </w:rPr>
              <w:t xml:space="preserve">Accessibility</w:t>
            </w:r>
          </w:p>
        </w:tc>
      </w:tr>
      <w:tr>
        <w:tc>
          <w:tcPr>
            <w:tcW w:type="dxa" w:w="1400"/>
            <w:tcBorders>
              <w:top w:val="single" w:color="DDDDDD" w:sz="1"/>
              <w:left w:val="single" w:color="DDDDDD" w:sz="1"/>
              <w:bottom w:val="single" w:color="DDDDDD" w:sz="1"/>
              <w:right w:val="single" w:color="DDDDDD" w:sz="1"/>
            </w:tcBorders>
            <w:shd w:fill="E8F4FD" w:val="clear"/>
            <w:tcMar>
              <w:top w:type="dxa" w:w="60"/>
              <w:left w:type="dxa" w:w="120"/>
              <w:bottom w:type="dxa" w:w="60"/>
              <w:right w:type="dxa" w:w="120"/>
            </w:tcMar>
          </w:tcPr>
          <w:p>
            <w:r>
              <w:rPr>
                <w:rFonts w:ascii="Arial" w:cs="Arial" w:eastAsia="Arial" w:hAnsi="Arial"/>
                <w:b/>
                <w:bCs/>
                <w:sz w:val="18"/>
                <w:szCs w:val="18"/>
              </w:rPr>
              <w:t xml:space="preserve">P2 — Soon</w:t>
            </w:r>
          </w:p>
        </w:tc>
        <w:tc>
          <w:tcPr>
            <w:tcW w:type="dxa" w:w="5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No scroll-spy navigation highlighting</w:t>
            </w:r>
          </w:p>
        </w:tc>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555555"/>
                <w:sz w:val="20"/>
                <w:szCs w:val="20"/>
              </w:rPr>
              <w:t xml:space="preserve">UX</w:t>
            </w:r>
          </w:p>
        </w:tc>
      </w:tr>
      <w:tr>
        <w:tc>
          <w:tcPr>
            <w:tcW w:type="dxa" w:w="1400"/>
            <w:tcBorders>
              <w:top w:val="single" w:color="DDDDDD" w:sz="1"/>
              <w:left w:val="single" w:color="DDDDDD" w:sz="1"/>
              <w:bottom w:val="single" w:color="DDDDDD" w:sz="1"/>
              <w:right w:val="single" w:color="DDDDDD" w:sz="1"/>
            </w:tcBorders>
            <w:shd w:fill="F0F0F0" w:val="clear"/>
            <w:tcMar>
              <w:top w:type="dxa" w:w="60"/>
              <w:left w:type="dxa" w:w="120"/>
              <w:bottom w:type="dxa" w:w="60"/>
              <w:right w:type="dxa" w:w="120"/>
            </w:tcMar>
          </w:tcPr>
          <w:p>
            <w:r>
              <w:rPr>
                <w:rFonts w:ascii="Arial" w:cs="Arial" w:eastAsia="Arial" w:hAnsi="Arial"/>
                <w:b/>
                <w:bCs/>
                <w:sz w:val="18"/>
                <w:szCs w:val="18"/>
              </w:rPr>
              <w:t xml:space="preserve">P3 — Backlog</w:t>
            </w:r>
          </w:p>
        </w:tc>
        <w:tc>
          <w:tcPr>
            <w:tcW w:type="dxa" w:w="5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No pricing signals or engagement model description</w:t>
            </w:r>
          </w:p>
        </w:tc>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555555"/>
                <w:sz w:val="20"/>
                <w:szCs w:val="20"/>
              </w:rPr>
              <w:t xml:space="preserve">Strategy</w:t>
            </w:r>
          </w:p>
        </w:tc>
      </w:tr>
      <w:tr>
        <w:tc>
          <w:tcPr>
            <w:tcW w:type="dxa" w:w="1400"/>
            <w:tcBorders>
              <w:top w:val="single" w:color="DDDDDD" w:sz="1"/>
              <w:left w:val="single" w:color="DDDDDD" w:sz="1"/>
              <w:bottom w:val="single" w:color="DDDDDD" w:sz="1"/>
              <w:right w:val="single" w:color="DDDDDD" w:sz="1"/>
            </w:tcBorders>
            <w:shd w:fill="F0F0F0" w:val="clear"/>
            <w:tcMar>
              <w:top w:type="dxa" w:w="60"/>
              <w:left w:type="dxa" w:w="120"/>
              <w:bottom w:type="dxa" w:w="60"/>
              <w:right w:type="dxa" w:w="120"/>
            </w:tcMar>
          </w:tcPr>
          <w:p>
            <w:r>
              <w:rPr>
                <w:rFonts w:ascii="Arial" w:cs="Arial" w:eastAsia="Arial" w:hAnsi="Arial"/>
                <w:b/>
                <w:bCs/>
                <w:sz w:val="18"/>
                <w:szCs w:val="18"/>
              </w:rPr>
              <w:t xml:space="preserve">P3 — Backlog</w:t>
            </w:r>
          </w:p>
        </w:tc>
        <w:tc>
          <w:tcPr>
            <w:tcW w:type="dxa" w:w="5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No blog or thought leadership content</w:t>
            </w:r>
          </w:p>
        </w:tc>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555555"/>
                <w:sz w:val="20"/>
                <w:szCs w:val="20"/>
              </w:rPr>
              <w:t xml:space="preserve">Strategy/SEO</w:t>
            </w:r>
          </w:p>
        </w:tc>
      </w:tr>
      <w:tr>
        <w:tc>
          <w:tcPr>
            <w:tcW w:type="dxa" w:w="1400"/>
            <w:tcBorders>
              <w:top w:val="single" w:color="DDDDDD" w:sz="1"/>
              <w:left w:val="single" w:color="DDDDDD" w:sz="1"/>
              <w:bottom w:val="single" w:color="DDDDDD" w:sz="1"/>
              <w:right w:val="single" w:color="DDDDDD" w:sz="1"/>
            </w:tcBorders>
            <w:shd w:fill="F0F0F0" w:val="clear"/>
            <w:tcMar>
              <w:top w:type="dxa" w:w="60"/>
              <w:left w:type="dxa" w:w="120"/>
              <w:bottom w:type="dxa" w:w="60"/>
              <w:right w:type="dxa" w:w="120"/>
            </w:tcMar>
          </w:tcPr>
          <w:p>
            <w:r>
              <w:rPr>
                <w:rFonts w:ascii="Arial" w:cs="Arial" w:eastAsia="Arial" w:hAnsi="Arial"/>
                <w:b/>
                <w:bCs/>
                <w:sz w:val="18"/>
                <w:szCs w:val="18"/>
              </w:rPr>
              <w:t xml:space="preserve">P3 — Backlog</w:t>
            </w:r>
          </w:p>
        </w:tc>
        <w:tc>
          <w:tcPr>
            <w:tcW w:type="dxa" w:w="5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Second testimonial (Elizabeth Raley) is thin—two sentences</w:t>
            </w:r>
          </w:p>
        </w:tc>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555555"/>
                <w:sz w:val="20"/>
                <w:szCs w:val="20"/>
              </w:rPr>
              <w:t xml:space="preserve">Content</w:t>
            </w:r>
          </w:p>
        </w:tc>
      </w:tr>
    </w:tbl>
    <w:p>
      <w:r>
        <w:br w:type="page"/>
      </w:r>
    </w:p>
    <w:p>
      <w:pPr>
        <w:pStyle w:val="Heading1"/>
      </w:pPr>
      <w:r>
        <w:t xml:space="preserve">Detailed Critique</w:t>
      </w:r>
    </w:p>
    <w:p>
      <w:pPr>
        <w:pStyle w:val="Heading2"/>
      </w:pPr>
      <w:r>
        <w:t xml:space="preserve">1. Copy &amp; Messaging</w:t>
      </w:r>
    </w:p>
    <w:p>
      <w:pPr>
        <w:pStyle w:val="Heading3"/>
      </w:pPr>
      <w:r>
        <w:t xml:space="preserve">What’s Working</w:t>
      </w:r>
    </w:p>
    <w:p>
      <w:pPr>
        <w:spacing w:after="160"/>
      </w:pPr>
      <w:r>
        <w:t xml:space="preserve">The hero headline is compelling and directly addresses the prospect’s pain point. The problem statement section does a great job of meeting the reader where they are—the “background security anxiety” framing is particularly effective. The tone throughout is conversational, confident, and specific rather than generic. Andy avoids the consultant trap of listing buzzwords and instead describes outcomes in the prospect’s language.</w:t>
      </w:r>
    </w:p>
    <w:p>
      <w:pPr>
        <w:pStyle w:val="Heading3"/>
      </w:pPr>
      <w:r>
        <w:t xml:space="preserve">What Needs Work</w:t>
      </w:r>
    </w:p>
    <w:p>
      <w:pPr>
        <w:pStyle w:val="ListParagraph"/>
        <w:numPr>
          <w:ilvl w:val="0"/>
          <w:numId w:val="2"/>
        </w:numPr>
        <w:spacing w:after="80"/>
      </w:pPr>
      <w:r>
        <w:rPr>
          <w:b/>
          <w:bCs/>
        </w:rPr>
        <w:t xml:space="preserve">Three typos (P0): </w:t>
      </w:r>
      <w:r>
        <w:t xml:space="preserve">“It’s was so easy” should be “It was so easy.” “Benefiting form AI” should be “benefiting from AI.” “Crowdstrke” should be “CrowdStrike.” These undermine the credibility of someone selling attention to detail and security.</w:t>
      </w:r>
    </w:p>
    <w:p>
      <w:pPr>
        <w:pStyle w:val="ListParagraph"/>
        <w:numPr>
          <w:ilvl w:val="0"/>
          <w:numId w:val="2"/>
        </w:numPr>
        <w:spacing w:after="80"/>
      </w:pPr>
      <w:r>
        <w:rPr>
          <w:b/>
          <w:bCs/>
        </w:rPr>
        <w:t xml:space="preserve">Problem statement length: </w:t>
      </w:r>
      <w:r>
        <w:t xml:space="preserve">Three dense paragraphs before the next CTA. Could be tightened by 30% without losing impact.</w:t>
      </w:r>
    </w:p>
    <w:p>
      <w:pPr>
        <w:pStyle w:val="ListParagraph"/>
        <w:numPr>
          <w:ilvl w:val="0"/>
          <w:numId w:val="2"/>
        </w:numPr>
        <w:spacing w:after="80"/>
      </w:pPr>
      <w:r>
        <w:rPr>
          <w:b/>
          <w:bCs/>
        </w:rPr>
        <w:t xml:space="preserve">AI positioning feels secondary: </w:t>
      </w:r>
      <w:r>
        <w:t xml:space="preserve">The security narrative is rich and specific; the AI story is a single paragraph. If AI is meant to be a co-equal pillar, it needs its own section with equivalent depth.</w:t>
      </w:r>
    </w:p>
    <w:p>
      <w:pPr>
        <w:pStyle w:val="ListParagraph"/>
        <w:numPr>
          <w:ilvl w:val="0"/>
          <w:numId w:val="2"/>
        </w:numPr>
        <w:spacing w:after="200"/>
      </w:pPr>
      <w:r>
        <w:rPr>
          <w:b/>
          <w:bCs/>
        </w:rPr>
        <w:t xml:space="preserve">Testimonial imbalance: </w:t>
      </w:r>
      <w:r>
        <w:t xml:space="preserve">The Hyla testimonial (Andrew Hoppin) is detailed and powerful. The Elizabeth Raley testimonial is only two sentences and feels thin by comparison. Consider asking Elizabeth for an expanded quote, or adding a third testimonial.</w:t>
      </w:r>
    </w:p>
    <w:p>
      <w:pPr>
        <w:pStyle w:val="Heading2"/>
      </w:pPr>
      <w:r>
        <w:t xml:space="preserve">2. Design &amp; Visual Identity</w:t>
      </w:r>
    </w:p>
    <w:p>
      <w:pPr>
        <w:pStyle w:val="Heading3"/>
      </w:pPr>
      <w:r>
        <w:t xml:space="preserve">What’s Working</w:t>
      </w:r>
    </w:p>
    <w:p>
      <w:pPr>
        <w:spacing w:after="160"/>
      </w:pPr>
      <w:r>
        <w:t xml:space="preserve">The overall aesthetic is clean and premium—warm beige/cream background, restrained typography, terra cotta CTA buttons. It reads as “senior, thoughtful, not trying too hard,” which is exactly right for this positioning. The headshot is professional and approachable. WebP images and fast load times (~600ms) show technical competence.</w:t>
      </w:r>
    </w:p>
    <w:p>
      <w:pPr>
        <w:pStyle w:val="Heading3"/>
      </w:pPr>
      <w:r>
        <w:t xml:space="preserve">What Needs Work</w:t>
      </w:r>
    </w:p>
    <w:p>
      <w:pPr>
        <w:pStyle w:val="ListParagraph"/>
        <w:numPr>
          <w:ilvl w:val="0"/>
          <w:numId w:val="2"/>
        </w:numPr>
        <w:spacing w:after="80"/>
      </w:pPr>
      <w:r>
        <w:rPr>
          <w:b/>
          <w:bCs/>
        </w:rPr>
        <w:t xml:space="preserve">Massive whitespace bug (P1): </w:t>
      </w:r>
      <w:r>
        <w:t xml:space="preserve">There’s roughly a full viewport of dead space between the case studies section and the capabilities section. Almost certainly a CSS issue—probably an element with excessive margin/padding or a hidden element taking up layout space. Makes the page feel broken.</w:t>
      </w:r>
    </w:p>
    <w:p>
      <w:pPr>
        <w:pStyle w:val="ListParagraph"/>
        <w:numPr>
          <w:ilvl w:val="0"/>
          <w:numId w:val="2"/>
        </w:numPr>
        <w:spacing w:after="80"/>
      </w:pPr>
      <w:r>
        <w:rPr>
          <w:b/>
          <w:bCs/>
        </w:rPr>
        <w:t xml:space="preserve">Benefits section layout: </w:t>
      </w:r>
      <w:r>
        <w:t xml:space="preserve">On desktop, the four benefit items appear to show one at a time with a lot of empty space to the right. If this is a scroll-triggered animation or carousel, it’s not functioning correctly. A 2x2 grid would have more visual impact and communicate value faster.</w:t>
      </w:r>
    </w:p>
    <w:p>
      <w:pPr>
        <w:pStyle w:val="ListParagraph"/>
        <w:numPr>
          <w:ilvl w:val="0"/>
          <w:numId w:val="2"/>
        </w:numPr>
        <w:spacing w:after="200"/>
      </w:pPr>
      <w:r>
        <w:rPr>
          <w:b/>
          <w:bCs/>
        </w:rPr>
        <w:t xml:space="preserve">Contrast concerns: </w:t>
      </w:r>
      <w:r>
        <w:t xml:space="preserve">The gray body text on beige background may not meet WCAG AA standards (4.5:1 ratio). Worth testing with a contrast checker—this affects readability for anyone over 40, which is most of the target market.</w:t>
      </w:r>
    </w:p>
    <w:p>
      <w:pPr>
        <w:pStyle w:val="Heading2"/>
      </w:pPr>
      <w:r>
        <w:t xml:space="preserve">3. SEO &amp; Technical</w:t>
      </w:r>
    </w:p>
    <w:p>
      <w:pPr>
        <w:spacing w:after="160"/>
      </w:pPr>
      <w:r>
        <w:t xml:space="preserve">The meta description is solid. Page load is excellent. But there are several gaps that will hurt discoverability and link-sharing:</w:t>
      </w:r>
    </w:p>
    <w:p>
      <w:pPr>
        <w:pStyle w:val="ListParagraph"/>
        <w:numPr>
          <w:ilvl w:val="0"/>
          <w:numId w:val="2"/>
        </w:numPr>
        <w:spacing w:after="80"/>
      </w:pPr>
      <w:r>
        <w:rPr>
          <w:b/>
          <w:bCs/>
        </w:rPr>
        <w:t xml:space="preserve">No Open Graph tags: </w:t>
      </w:r>
      <w:r>
        <w:t xml:space="preserve">When Andy shares the link on LinkedIn (his likely primary channel), it will render as a bare URL with no preview card. This is a significant missed opportunity. Needs og:title, og:description, and og:image at minimum.</w:t>
      </w:r>
    </w:p>
    <w:p>
      <w:pPr>
        <w:pStyle w:val="ListParagraph"/>
        <w:numPr>
          <w:ilvl w:val="0"/>
          <w:numId w:val="2"/>
        </w:numPr>
        <w:spacing w:after="80"/>
      </w:pPr>
      <w:r>
        <w:rPr>
          <w:b/>
          <w:bCs/>
        </w:rPr>
        <w:t xml:space="preserve">No favicon: </w:t>
      </w:r>
      <w:r>
        <w:t xml:space="preserve">Browser tab shows a generic icon. Small thing, but it signals “unfinished.”</w:t>
      </w:r>
    </w:p>
    <w:p>
      <w:pPr>
        <w:pStyle w:val="ListParagraph"/>
        <w:numPr>
          <w:ilvl w:val="0"/>
          <w:numId w:val="2"/>
        </w:numPr>
        <w:spacing w:after="80"/>
      </w:pPr>
      <w:r>
        <w:rPr>
          <w:b/>
          <w:bCs/>
        </w:rPr>
        <w:t xml:space="preserve">No canonical URL: </w:t>
      </w:r>
      <w:r>
        <w:t xml:space="preserve">Should be set to prevent duplicate content issues as the site gets indexed.</w:t>
      </w:r>
    </w:p>
    <w:p>
      <w:pPr>
        <w:pStyle w:val="ListParagraph"/>
        <w:numPr>
          <w:ilvl w:val="0"/>
          <w:numId w:val="2"/>
        </w:numPr>
        <w:spacing w:after="200"/>
      </w:pPr>
      <w:r>
        <w:rPr>
          <w:b/>
          <w:bCs/>
        </w:rPr>
        <w:t xml:space="preserve">Missing alt text: </w:t>
      </w:r>
      <w:r>
        <w:t xml:space="preserve">Both testimonial headshot images lack alt attributes. This is an accessibility issue and an SEO miss.</w:t>
      </w:r>
    </w:p>
    <w:p>
      <w:pPr>
        <w:pStyle w:val="Heading2"/>
      </w:pPr>
      <w:r>
        <w:t xml:space="preserve">4. UX &amp; Information Architecture</w:t>
      </w:r>
    </w:p>
    <w:p>
      <w:pPr>
        <w:pStyle w:val="Heading3"/>
      </w:pPr>
      <w:r>
        <w:t xml:space="preserve">What’s Working</w:t>
      </w:r>
    </w:p>
    <w:p>
      <w:pPr>
        <w:pStyle w:val="ListParagraph"/>
        <w:numPr>
          <w:ilvl w:val="0"/>
          <w:numId w:val="2"/>
        </w:numPr>
        <w:spacing w:after="80"/>
      </w:pPr>
      <w:r>
        <w:t xml:space="preserve">The “Currently taking on new clients” green dot is a smart touch—signals scarcity and immediacy.</w:t>
      </w:r>
    </w:p>
    <w:p>
      <w:pPr>
        <w:pStyle w:val="ListParagraph"/>
        <w:numPr>
          <w:ilvl w:val="0"/>
          <w:numId w:val="2"/>
        </w:numPr>
        <w:spacing w:after="80"/>
      </w:pPr>
      <w:r>
        <w:t xml:space="preserve">The contact section is well-designed: form, direct email, and Calendly link, plus trust-building details (24h response, no NDA needed, US-based).</w:t>
      </w:r>
    </w:p>
    <w:p>
      <w:pPr>
        <w:pStyle w:val="ListParagraph"/>
        <w:numPr>
          <w:ilvl w:val="0"/>
          <w:numId w:val="2"/>
        </w:numPr>
        <w:spacing w:after="160"/>
      </w:pPr>
      <w:r>
        <w:t xml:space="preserve">The “Let’s figure out if this is the right fit” framing is much better than a generic “Contact us.”</w:t>
      </w:r>
    </w:p>
    <w:p>
      <w:pPr>
        <w:pStyle w:val="Heading3"/>
      </w:pPr>
      <w:r>
        <w:t xml:space="preserve">What Needs Work</w:t>
      </w:r>
    </w:p>
    <w:p>
      <w:pPr>
        <w:pStyle w:val="ListParagraph"/>
        <w:numPr>
          <w:ilvl w:val="0"/>
          <w:numId w:val="2"/>
        </w:numPr>
        <w:spacing w:after="80"/>
      </w:pPr>
      <w:r>
        <w:rPr>
          <w:b/>
          <w:bCs/>
        </w:rPr>
        <w:t xml:space="preserve">No scroll-spy highlighting: </w:t>
      </w:r>
      <w:r>
        <w:t xml:space="preserve">The nav links (Work, Services, About, Contact) don’t indicate the current section as you scroll. Adds orientation and polish.</w:t>
      </w:r>
    </w:p>
    <w:p>
      <w:pPr>
        <w:pStyle w:val="ListParagraph"/>
        <w:numPr>
          <w:ilvl w:val="0"/>
          <w:numId w:val="2"/>
        </w:numPr>
        <w:spacing w:after="200"/>
      </w:pPr>
      <w:r>
        <w:rPr>
          <w:b/>
          <w:bCs/>
        </w:rPr>
        <w:t xml:space="preserve">Case study imbalance: </w:t>
      </w:r>
      <w:r>
        <w:t xml:space="preserve">The Hyla/Amphibian case study is very detailed (good), but the CoverUS and Extraordinary write-ups are much shorter, creating visual imbalance. Consider evening them out or making the structure more intentional (e.g., one “featured” case study and two “summary” cards).</w:t>
      </w:r>
    </w:p>
    <w:p>
      <w:pPr>
        <w:pStyle w:val="Heading2"/>
      </w:pPr>
      <w:r>
        <w:t xml:space="preserve">5. Strategic Observations</w:t>
      </w:r>
    </w:p>
    <w:p>
      <w:pPr>
        <w:spacing w:after="160"/>
      </w:pPr>
      <w:r>
        <w:t xml:space="preserve">Andy’s positioning as “Fractional CTO for growth-stage companies” is clear, but the site actually demonstrates three distinct value propositions: security programs, AI/automation workflows, and product/engineering leadership. The Hyla case study sells security, CoverUS sells product leadership, and Extraordinary sells engineering management. A prospect may not realize they need all three from the same person. The site could do more to connect these into a coherent narrative about why one person owning security + AI + product infrastructure is better than hiring three specialists.</w:t>
      </w:r>
    </w:p>
    <w:p>
      <w:pPr>
        <w:spacing w:after="160"/>
      </w:pPr>
      <w:r>
        <w:rPr>
          <w:b/>
          <w:bCs/>
        </w:rPr>
        <w:t xml:space="preserve">Pricing: </w:t>
      </w:r>
      <w:r>
        <w:t xml:space="preserve">There are no pricing signals whatsoever. For fractional CTO work, even a range or engagement model description (retainer vs. project, typical hours/week) would help qualify leads and reduce tire-kickers. This doesn’t need to be a specific number—even “Engagements typically start at $X/month” or a description of how the model works would help.</w:t>
      </w:r>
    </w:p>
    <w:p>
      <w:pPr>
        <w:spacing w:after="200"/>
      </w:pPr>
      <w:r>
        <w:rPr>
          <w:b/>
          <w:bCs/>
        </w:rPr>
        <w:t xml:space="preserve">Content &amp; thought leadership: </w:t>
      </w:r>
      <w:r>
        <w:t xml:space="preserve">There’s no blog, no resources section, and no downloadable content. For someone selling senior judgment, publishing even a few pieces on security posture for growth-stage companies or AI implementation strategy would dramatically increase organic discovery and credibility. This is also the easiest lever for SEO.</w:t>
      </w:r>
    </w:p>
    <w:p>
      <w:pPr>
        <w:pStyle w:val="Heading2"/>
      </w:pPr>
      <w:r>
        <w:t xml:space="preserve">6. Overall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F5F0EB" w:val="clear"/>
            <w:tcMar>
              <w:top w:type="dxa" w:w="120"/>
              <w:left w:type="dxa" w:w="160"/>
              <w:bottom w:type="dxa" w:w="120"/>
              <w:right w:type="dxa" w:w="160"/>
            </w:tcMar>
          </w:tcPr>
          <w:p>
            <w:pPr>
              <w:spacing w:after="40"/>
            </w:pPr>
            <w:r>
              <w:rPr>
                <w:rFonts w:ascii="Arial" w:cs="Arial" w:eastAsia="Arial" w:hAnsi="Arial"/>
                <w:b/>
                <w:bCs/>
                <w:sz w:val="20"/>
                <w:szCs w:val="20"/>
              </w:rPr>
              <w:t xml:space="preserve">Copy &amp; Messaging</w:t>
            </w:r>
          </w:p>
          <w:p>
            <w:pPr>
              <w:spacing w:after="60"/>
            </w:pPr>
            <w:r>
              <w:rPr>
                <w:rFonts w:ascii="Arial" w:cs="Arial" w:eastAsia="Arial" w:hAnsi="Arial"/>
                <w:b/>
                <w:bCs/>
                <w:color w:val="C07840"/>
                <w:sz w:val="32"/>
                <w:szCs w:val="32"/>
              </w:rPr>
              <w:t xml:space="preserve">A–</w:t>
            </w:r>
          </w:p>
          <w:p>
            <w:r>
              <w:rPr>
                <w:rFonts w:ascii="Arial" w:cs="Arial" w:eastAsia="Arial" w:hAnsi="Arial"/>
                <w:color w:val="555555"/>
                <w:sz w:val="18"/>
                <w:szCs w:val="18"/>
              </w:rPr>
              <w:t xml:space="preserve">Strongest element. Fix typos, tighten problem statement.</w:t>
            </w:r>
          </w:p>
        </w:tc>
        <w:tc>
          <w:tcPr>
            <w:tcW w:type="dxa" w:w="3120"/>
            <w:tcBorders>
              <w:top w:val="single" w:color="DDDDDD" w:sz="1"/>
              <w:left w:val="single" w:color="DDDDDD" w:sz="1"/>
              <w:bottom w:val="single" w:color="DDDDDD" w:sz="1"/>
              <w:right w:val="single" w:color="DDDDDD" w:sz="1"/>
            </w:tcBorders>
            <w:shd w:fill="F5F0EB" w:val="clear"/>
            <w:tcMar>
              <w:top w:type="dxa" w:w="120"/>
              <w:left w:type="dxa" w:w="160"/>
              <w:bottom w:type="dxa" w:w="120"/>
              <w:right w:type="dxa" w:w="160"/>
            </w:tcMar>
          </w:tcPr>
          <w:p>
            <w:pPr>
              <w:spacing w:after="40"/>
            </w:pPr>
            <w:r>
              <w:rPr>
                <w:rFonts w:ascii="Arial" w:cs="Arial" w:eastAsia="Arial" w:hAnsi="Arial"/>
                <w:b/>
                <w:bCs/>
                <w:sz w:val="20"/>
                <w:szCs w:val="20"/>
              </w:rPr>
              <w:t xml:space="preserve">Design &amp; Visual</w:t>
            </w:r>
          </w:p>
          <w:p>
            <w:pPr>
              <w:spacing w:after="60"/>
            </w:pPr>
            <w:r>
              <w:rPr>
                <w:rFonts w:ascii="Arial" w:cs="Arial" w:eastAsia="Arial" w:hAnsi="Arial"/>
                <w:b/>
                <w:bCs/>
                <w:color w:val="C07840"/>
                <w:sz w:val="32"/>
                <w:szCs w:val="32"/>
              </w:rPr>
              <w:t xml:space="preserve">B+</w:t>
            </w:r>
          </w:p>
          <w:p>
            <w:r>
              <w:rPr>
                <w:rFonts w:ascii="Arial" w:cs="Arial" w:eastAsia="Arial" w:hAnsi="Arial"/>
                <w:color w:val="555555"/>
                <w:sz w:val="18"/>
                <w:szCs w:val="18"/>
              </w:rPr>
              <w:t xml:space="preserve">Clean and premium. Fix whitespace bug and benefits layout.</w:t>
            </w:r>
          </w:p>
        </w:tc>
        <w:tc>
          <w:tcPr>
            <w:tcW w:type="dxa" w:w="3120"/>
            <w:tcBorders>
              <w:top w:val="single" w:color="DDDDDD" w:sz="1"/>
              <w:left w:val="single" w:color="DDDDDD" w:sz="1"/>
              <w:bottom w:val="single" w:color="DDDDDD" w:sz="1"/>
              <w:right w:val="single" w:color="DDDDDD" w:sz="1"/>
            </w:tcBorders>
            <w:shd w:fill="F5F0EB" w:val="clear"/>
            <w:tcMar>
              <w:top w:type="dxa" w:w="120"/>
              <w:left w:type="dxa" w:w="160"/>
              <w:bottom w:type="dxa" w:w="120"/>
              <w:right w:type="dxa" w:w="160"/>
            </w:tcMar>
          </w:tcPr>
          <w:p>
            <w:pPr>
              <w:spacing w:after="40"/>
            </w:pPr>
            <w:r>
              <w:rPr>
                <w:rFonts w:ascii="Arial" w:cs="Arial" w:eastAsia="Arial" w:hAnsi="Arial"/>
                <w:b/>
                <w:bCs/>
                <w:sz w:val="20"/>
                <w:szCs w:val="20"/>
              </w:rPr>
              <w:t xml:space="preserve">SEO &amp; Technical</w:t>
            </w:r>
          </w:p>
          <w:p>
            <w:pPr>
              <w:spacing w:after="60"/>
            </w:pPr>
            <w:r>
              <w:rPr>
                <w:rFonts w:ascii="Arial" w:cs="Arial" w:eastAsia="Arial" w:hAnsi="Arial"/>
                <w:b/>
                <w:bCs/>
                <w:color w:val="C07840"/>
                <w:sz w:val="32"/>
                <w:szCs w:val="32"/>
              </w:rPr>
              <w:t xml:space="preserve">C+</w:t>
            </w:r>
          </w:p>
          <w:p>
            <w:r>
              <w:rPr>
                <w:rFonts w:ascii="Arial" w:cs="Arial" w:eastAsia="Arial" w:hAnsi="Arial"/>
                <w:color w:val="555555"/>
                <w:sz w:val="18"/>
                <w:szCs w:val="18"/>
              </w:rPr>
              <w:t xml:space="preserve">Fast load, but missing OG tags, favicon, canonical, alt text.</w:t>
            </w:r>
          </w:p>
        </w:tc>
      </w:tr>
      <w:tr>
        <w:tc>
          <w:tcPr>
            <w:tcW w:type="dxa" w:w="3120"/>
            <w:tcBorders>
              <w:top w:val="single" w:color="DDDDDD" w:sz="1"/>
              <w:left w:val="single" w:color="DDDDDD" w:sz="1"/>
              <w:bottom w:val="single" w:color="DDDDDD" w:sz="1"/>
              <w:right w:val="single" w:color="DDDDDD" w:sz="1"/>
            </w:tcBorders>
            <w:shd w:fill="F5F0EB" w:val="clear"/>
            <w:tcMar>
              <w:top w:type="dxa" w:w="120"/>
              <w:left w:type="dxa" w:w="160"/>
              <w:bottom w:type="dxa" w:w="120"/>
              <w:right w:type="dxa" w:w="160"/>
            </w:tcMar>
          </w:tcPr>
          <w:p>
            <w:pPr>
              <w:spacing w:after="40"/>
            </w:pPr>
            <w:r>
              <w:rPr>
                <w:rFonts w:ascii="Arial" w:cs="Arial" w:eastAsia="Arial" w:hAnsi="Arial"/>
                <w:b/>
                <w:bCs/>
                <w:sz w:val="20"/>
                <w:szCs w:val="20"/>
              </w:rPr>
              <w:t xml:space="preserve">UX / IA</w:t>
            </w:r>
          </w:p>
          <w:p>
            <w:pPr>
              <w:spacing w:after="60"/>
            </w:pPr>
            <w:r>
              <w:rPr>
                <w:rFonts w:ascii="Arial" w:cs="Arial" w:eastAsia="Arial" w:hAnsi="Arial"/>
                <w:b/>
                <w:bCs/>
                <w:color w:val="C07840"/>
                <w:sz w:val="32"/>
                <w:szCs w:val="32"/>
              </w:rPr>
              <w:t xml:space="preserve">B+</w:t>
            </w:r>
          </w:p>
          <w:p>
            <w:r>
              <w:rPr>
                <w:rFonts w:ascii="Arial" w:cs="Arial" w:eastAsia="Arial" w:hAnsi="Arial"/>
                <w:color w:val="555555"/>
                <w:sz w:val="18"/>
                <w:szCs w:val="18"/>
              </w:rPr>
              <w:t xml:space="preserve">Smart CTA framing. Needs scroll-spy and case study balance.</w:t>
            </w:r>
          </w:p>
        </w:tc>
        <w:tc>
          <w:tcPr>
            <w:tcW w:type="dxa" w:w="3120"/>
            <w:tcBorders>
              <w:top w:val="single" w:color="DDDDDD" w:sz="1"/>
              <w:left w:val="single" w:color="DDDDDD" w:sz="1"/>
              <w:bottom w:val="single" w:color="DDDDDD" w:sz="1"/>
              <w:right w:val="single" w:color="DDDDDD" w:sz="1"/>
            </w:tcBorders>
            <w:shd w:fill="F5F0EB" w:val="clear"/>
            <w:tcMar>
              <w:top w:type="dxa" w:w="120"/>
              <w:left w:type="dxa" w:w="160"/>
              <w:bottom w:type="dxa" w:w="120"/>
              <w:right w:type="dxa" w:w="160"/>
            </w:tcMar>
          </w:tcPr>
          <w:p>
            <w:pPr>
              <w:spacing w:after="40"/>
            </w:pPr>
            <w:r>
              <w:rPr>
                <w:rFonts w:ascii="Arial" w:cs="Arial" w:eastAsia="Arial" w:hAnsi="Arial"/>
                <w:b/>
                <w:bCs/>
                <w:sz w:val="20"/>
                <w:szCs w:val="20"/>
              </w:rPr>
              <w:t xml:space="preserve">Strategic Positioning</w:t>
            </w:r>
          </w:p>
          <w:p>
            <w:pPr>
              <w:spacing w:after="60"/>
            </w:pPr>
            <w:r>
              <w:rPr>
                <w:rFonts w:ascii="Arial" w:cs="Arial" w:eastAsia="Arial" w:hAnsi="Arial"/>
                <w:b/>
                <w:bCs/>
                <w:color w:val="C07840"/>
                <w:sz w:val="32"/>
                <w:szCs w:val="32"/>
              </w:rPr>
              <w:t xml:space="preserve">B</w:t>
            </w:r>
          </w:p>
          <w:p>
            <w:r>
              <w:rPr>
                <w:rFonts w:ascii="Arial" w:cs="Arial" w:eastAsia="Arial" w:hAnsi="Arial"/>
                <w:color w:val="555555"/>
                <w:sz w:val="18"/>
                <w:szCs w:val="18"/>
              </w:rPr>
              <w:t xml:space="preserve">Clear niche. Needs unified narrative and pricing signals.</w:t>
            </w:r>
          </w:p>
        </w:tc>
        <w:tc>
          <w:tcPr>
            <w:tcW w:type="dxa" w:w="3120"/>
            <w:tcBorders>
              <w:top w:val="single" w:color="DDDDDD" w:sz="1"/>
              <w:left w:val="single" w:color="DDDDDD" w:sz="1"/>
              <w:bottom w:val="single" w:color="DDDDDD" w:sz="1"/>
              <w:right w:val="single" w:color="DDDDDD" w:sz="1"/>
            </w:tcBorders>
            <w:shd w:fill="F5F0EB" w:val="clear"/>
            <w:tcMar>
              <w:top w:type="dxa" w:w="120"/>
              <w:left w:type="dxa" w:w="160"/>
              <w:bottom w:type="dxa" w:w="120"/>
              <w:right w:type="dxa" w:w="160"/>
            </w:tcMar>
          </w:tcPr>
          <w:p>
            <w:pPr>
              <w:spacing w:after="40"/>
            </w:pPr>
            <w:r>
              <w:rPr>
                <w:rFonts w:ascii="Arial" w:cs="Arial" w:eastAsia="Arial" w:hAnsi="Arial"/>
                <w:b/>
                <w:bCs/>
                <w:sz w:val="20"/>
                <w:szCs w:val="20"/>
              </w:rPr>
              <w:t xml:space="preserve">Content / Lead Gen</w:t>
            </w:r>
          </w:p>
          <w:p>
            <w:pPr>
              <w:spacing w:after="60"/>
            </w:pPr>
            <w:r>
              <w:rPr>
                <w:rFonts w:ascii="Arial" w:cs="Arial" w:eastAsia="Arial" w:hAnsi="Arial"/>
                <w:b/>
                <w:bCs/>
                <w:color w:val="C07840"/>
                <w:sz w:val="32"/>
                <w:szCs w:val="32"/>
              </w:rPr>
              <w:t xml:space="preserve">C</w:t>
            </w:r>
          </w:p>
          <w:p>
            <w:r>
              <w:rPr>
                <w:rFonts w:ascii="Arial" w:cs="Arial" w:eastAsia="Arial" w:hAnsi="Arial"/>
                <w:color w:val="555555"/>
                <w:sz w:val="18"/>
                <w:szCs w:val="18"/>
              </w:rPr>
              <w:t xml:space="preserve">No blog, no resources, no SEO content strategy yet.</w:t>
            </w:r>
          </w:p>
        </w:tc>
      </w:tr>
    </w:tbl>
    <w:p>
      <w:pPr>
        <w:spacing w:before="300" w:after="200"/>
      </w:pPr>
      <w:r>
        <w:rPr>
          <w:b/>
          <w:bCs/>
        </w:rPr>
        <w:t xml:space="preserve">Bottom line: </w:t>
      </w:r>
      <w:r>
        <w:t xml:space="preserve">Fix the P0 typos and the whitespace bug, add Open Graph tags and a favicon, and this site is ready to start driving conversations. The copy and positioning are already better than 90% of fractional CTO sites out there. The strategic items (pricing signals, thought leadership, unified narrative) are the next horizon and will compound over time.</w:t>
      </w:r>
    </w:p>
    <w:p>
      <w:pPr>
        <w:pBdr>
          <w:top w:val="single" w:color="C07840" w:sz="6" w:space="8"/>
        </w:pBdr>
        <w:spacing w:before="400"/>
      </w:pPr>
      <w:r>
        <w:rPr>
          <w:b/>
          <w:bCs/>
          <w:color w:val="C07840"/>
        </w:rPr>
        <w:t xml:space="preserve">Next steps: </w:t>
      </w:r>
      <w:r>
        <w:t xml:space="preserve">See the companion documents for a proposed business model with productized service pricing, a lightweight marketing plan, and a draft thought leadership piece.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8"/>
        <w:szCs w:val="18"/>
      </w:rPr>
      <w:t xml:space="preserve">Confidential — Prepared for Andy Laken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1A"/>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C07840"/>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2026-02-28T00:21:10.607Z</dcterms:created>
  <dcterms:modified xsi:type="dcterms:W3CDTF">2026-02-28T00:21:10.607Z</dcterms:modified>
</cp:coreProperties>
</file>

<file path=docProps/custom.xml><?xml version="1.0" encoding="utf-8"?>
<Properties xmlns="http://schemas.openxmlformats.org/officeDocument/2006/custom-properties" xmlns:vt="http://schemas.openxmlformats.org/officeDocument/2006/docPropsVTypes"/>
</file>