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aps/>
          <w:color w:val="888888"/>
          <w:sz w:val="28"/>
          <w:szCs w:val="28"/>
        </w:rPr>
        <w:t xml:space="preserve">ARCHETYPE CONSULTING</w:t>
      </w:r>
    </w:p>
    <w:p>
      <w:pPr>
        <w:spacing w:after="120"/>
      </w:pPr>
      <w:r>
        <w:rPr>
          <w:b/>
          <w:bCs/>
          <w:color w:val="2B4A6F"/>
          <w:sz w:val="56"/>
          <w:szCs w:val="56"/>
        </w:rPr>
        <w:t xml:space="preserve">Crypto Fund Security Hardening</w:t>
      </w:r>
    </w:p>
    <w:p>
      <w:pPr>
        <w:spacing w:after="320"/>
      </w:pPr>
      <w:r>
        <w:rPr>
          <w:color w:val="555555"/>
          <w:sz w:val="40"/>
          <w:szCs w:val="40"/>
        </w:rPr>
        <w:t xml:space="preserve">Executive Product Brief</w:t>
      </w:r>
    </w:p>
    <w:p>
      <w:pPr>
        <w:spacing w:after="80"/>
      </w:pPr>
      <w:r>
        <w:rPr>
          <w:color w:val="666666"/>
          <w:sz w:val="22"/>
          <w:szCs w:val="22"/>
        </w:rPr>
        <w:t xml:space="preserve">Product definition, pricing architecture, delivery model, and open decisions.</w:t>
      </w:r>
    </w:p>
    <w:p>
      <w:pPr>
        <w:spacing w:after="480"/>
      </w:pPr>
      <w:r>
        <w:rPr>
          <w:color w:val="888888"/>
          <w:sz w:val="20"/>
          <w:szCs w:val="20"/>
        </w:rPr>
        <w:t xml:space="preserve">March 2026 — Internal working document</w:t>
      </w:r>
    </w:p>
    <w:p>
      <w:pPr>
        <w:pBdr>
          <w:bottom w:val="single" w:color="2B4A6F" w:sz="4" w:space="1"/>
        </w:pBdr>
        <w:spacing w:after="200"/>
      </w:pPr>
      <w:r>
        <w:t xml:space="preserve"/>
      </w:r>
    </w:p>
    <w:p>
      <w:pPr>
        <w:pStyle w:val="Heading1"/>
        <w:spacing w:after="160" w:before="360"/>
      </w:pPr>
      <w:r>
        <w:t xml:space="preserve">1. Strategic Context</w:t>
      </w:r>
    </w:p>
    <w:p>
      <w:pPr>
        <w:spacing w:after="120"/>
      </w:pPr>
      <w:r>
        <w:t xml:space="preserve">This package converts the Hyla/Amphibian security program — nine phases, ~$70K combined with a co-delivery partner, nine weeks — into a solo-deliverable engagement that achieves a high effective hourly rate and creates a natural path to ongoing work. The design criteria are three: warm inbound referrals can say yes without a lengthy discovery process; it is repeatable and efficient; it terminates cleanly without post-engagement obligations.</w:t>
      </w:r>
    </w:p>
    <w:p>
      <w:pPr>
        <w:spacing w:after="80"/>
      </w:pPr>
      <w:r>
        <w:t xml:space="preserve"/>
      </w:r>
    </w:p>
    <w:p>
      <w:pPr>
        <w:pStyle w:val="Heading2"/>
        <w:spacing w:after="120" w:before="240"/>
      </w:pPr>
      <w:r>
        <w:t xml:space="preserve">1.1 Target Buyer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Attribute</w:t>
            </w:r>
          </w:p>
        </w:tc>
        <w:tc>
          <w:tcPr>
            <w:tcW w:type="dxa" w:w="586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Profile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Title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Founder, CEO, COO, or Operating Partner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AUM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$50M–$500M (sweet spot: $75M–$200M)</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Team size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4–20 people — almost certainly BYOD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Security maturity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Started on Google Workspace/M365, no EDR, consumer VPN at best, password manager partially adopted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Trigger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Investor DDQ questions, SEC compliance anxiety, or a near-miss/incident in their network</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Decision authority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COO/Operating Partner can approve up to ~$50K unilaterally</w:t>
            </w:r>
          </w:p>
        </w:tc>
      </w:tr>
    </w:tbl>
    <w:p>
      <w:pPr>
        <w:spacing w:after="80"/>
      </w:pPr>
      <w:r>
        <w:t xml:space="preserve"/>
      </w:r>
    </w:p>
    <w:p>
      <w:pPr>
        <w:pStyle w:val="Heading2"/>
        <w:spacing w:after="120" w:before="240"/>
      </w:pPr>
      <w:r>
        <w:t xml:space="preserve">1.2 Market Pressure Driving Demand</w:t>
      </w:r>
    </w:p>
    <w:p>
      <w:pPr>
        <w:pStyle w:val="ListParagraph"/>
        <w:numPr>
          <w:ilvl w:val="0"/>
          <w:numId w:val="2"/>
        </w:numPr>
        <w:spacing w:after="80"/>
      </w:pPr>
      <w:r>
        <w:t xml:space="preserve">SEC cybersecurity risk management rule finalized June 2025 — registered investment advisers need documented security programs. Form PF deadline: October 2026.</w:t>
      </w:r>
    </w:p>
    <w:p>
      <w:pPr>
        <w:pStyle w:val="ListParagraph"/>
        <w:numPr>
          <w:ilvl w:val="0"/>
          <w:numId w:val="2"/>
        </w:numPr>
        <w:spacing w:after="80"/>
      </w:pPr>
      <w:r>
        <w:t xml:space="preserve">68% of institutional allocators cite cybersecurity as their primary concern in crypto risk management. Investor DDQs now ask directly: do you have EDR on all endpoints? Is MFA enforced? Who implemented your controls?</w:t>
      </w:r>
    </w:p>
    <w:p>
      <w:pPr>
        <w:pStyle w:val="ListParagraph"/>
        <w:numPr>
          <w:ilvl w:val="0"/>
          <w:numId w:val="2"/>
        </w:numPr>
        <w:spacing w:after="80"/>
      </w:pPr>
      <w:r>
        <w:t xml:space="preserve">78% of crypto firms increased security spend in 2025. The Stardust Chollima / Lazarus Group threat is active and documented — the community knows it.</w:t>
      </w:r>
    </w:p>
    <w:p>
      <w:pPr>
        <w:pStyle w:val="ListParagraph"/>
        <w:numPr>
          <w:ilvl w:val="0"/>
          <w:numId w:val="2"/>
        </w:numPr>
        <w:spacing w:after="80"/>
      </w:pPr>
      <w:r>
        <w:t xml:space="preserve">Competitive benchmark: vCISO retainer runs $6K–$12K/month; MSSP coverage for a 10-person firm runs $72K–$120K/year. Archetype's one-time fee sits below first-year MSSP cost.</w:t>
      </w:r>
    </w:p>
    <w:p>
      <w:pPr>
        <w:spacing w:after="80"/>
      </w:pPr>
      <w:r>
        <w:t xml:space="preserve"/>
      </w:r>
    </w:p>
    <w:p>
      <w:pPr>
        <w:pStyle w:val="Heading2"/>
        <w:spacing w:after="120" w:before="240"/>
      </w:pPr>
      <w:r>
        <w:t xml:space="preserve">1.3 Why This Referral Channel Works</w:t>
      </w:r>
    </w:p>
    <w:p>
      <w:pPr>
        <w:spacing w:after="120"/>
      </w:pPr>
      <w:r>
        <w:t xml:space="preserve">Andrew Hoppin is CIO of Hyla Fund Management and a well-regarded peer in the Amphibian Unite community (~194 members). He has offered to personally ping peer fund managers on Telegram. The credibility transfer from a trusted peer with firsthand experience — 'Andy had a hardening program in place before it became our problem' — is qualitatively different from any cold outreach or firm credential. It closes the trust gap that boutique security firms cannot purchase.</w:t>
      </w:r>
    </w:p>
    <w:p>
      <w:pPr>
        <w:spacing w:after="80"/>
      </w:pPr>
      <w:r>
        <w:t xml:space="preserve"/>
      </w:r>
    </w:p>
    <w:p>
      <w:r>
        <w:br w:type="page"/>
      </w:r>
    </w:p>
    <w:p>
      <w:pPr>
        <w:pStyle w:val="Heading1"/>
        <w:spacing w:after="160" w:before="360"/>
      </w:pPr>
      <w:r>
        <w:t xml:space="preserve">2. The Product: Three Tiers</w:t>
      </w:r>
    </w:p>
    <w:p>
      <w:pPr>
        <w:spacing w:after="120"/>
      </w:pPr>
      <w:r>
        <w:t xml:space="preserve">Three fixed-price, fixed-scope tiers serve clients at different maturity levels and deal sizes. Lower tiers create natural upgrade paths. All tiers deliver a clean handoff — Andy is not in the post-engagement incident response chain.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Tier 1 — Security Foundation</w:t>
            </w:r>
          </w:p>
        </w:tc>
        <w:tc>
          <w:tcPr>
            <w:tcW w:type="dxa" w:w="536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The Hyundai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Price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$12,000 fixed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Timeline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 week / 3–4 sessions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Target client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Sub-$50M fund or any fund needing to show something to an investor/auditor fast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Andy's hours (est.)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20–25 hours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Effective rate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~$480–600/hour</w:t>
            </w:r>
          </w:p>
        </w:tc>
      </w:tr>
    </w:tbl>
    <w:p>
      <w:pPr>
        <w:spacing w:after="80"/>
      </w:pPr>
      <w:r>
        <w:t xml:space="preserve"/>
      </w:r>
    </w:p>
    <w:p>
      <w:pPr>
        <w:pStyle w:val="Heading3"/>
        <w:spacing w:after="80" w:before="180"/>
      </w:pPr>
      <w:r>
        <w:t xml:space="preserve">Tier 1 — What's Included</w:t>
      </w:r>
    </w:p>
    <w:p>
      <w:pPr>
        <w:pStyle w:val="ListParagraph"/>
        <w:numPr>
          <w:ilvl w:val="0"/>
          <w:numId w:val="2"/>
        </w:numPr>
        <w:spacing w:after="80"/>
      </w:pPr>
      <w:r>
        <w:t xml:space="preserve">IDP hardening (Google Workspace or M365): SSO enforcement, MFA org-wide, admin access audit, sharing permissions review</w:t>
      </w:r>
    </w:p>
    <w:p>
      <w:pPr>
        <w:pStyle w:val="ListParagraph"/>
        <w:numPr>
          <w:ilvl w:val="0"/>
          <w:numId w:val="2"/>
        </w:numPr>
        <w:spacing w:after="80"/>
      </w:pPr>
      <w:r>
        <w:t xml:space="preserve">Password manager deployment: 1Password or Bitwarden org setup, team onboarding, vault structure, migration of shared credentials out of Slack/email</w:t>
      </w:r>
    </w:p>
    <w:p>
      <w:pPr>
        <w:pStyle w:val="ListParagraph"/>
        <w:numPr>
          <w:ilvl w:val="0"/>
          <w:numId w:val="2"/>
        </w:numPr>
        <w:spacing w:after="80"/>
      </w:pPr>
      <w:r>
        <w:t xml:space="preserve">Telegram and Zoom hardening: SOPs for both platforms, crypto-specific threat patterns, settings configuration</w:t>
      </w:r>
    </w:p>
    <w:p>
      <w:pPr>
        <w:pStyle w:val="ListParagraph"/>
        <w:numPr>
          <w:ilvl w:val="0"/>
          <w:numId w:val="2"/>
        </w:numPr>
        <w:spacing w:after="80"/>
      </w:pPr>
      <w:r>
        <w:t xml:space="preserve">Documentation package: written summary of controls implemented, suitable for investor DDQ or SEC examination response</w:t>
      </w:r>
    </w:p>
    <w:p>
      <w:pPr>
        <w:pStyle w:val="Heading3"/>
        <w:spacing w:after="80" w:before="180"/>
      </w:pPr>
      <w:r>
        <w:t xml:space="preserve">Tier 1 — What's NOT Included</w:t>
      </w:r>
    </w:p>
    <w:p>
      <w:pPr>
        <w:pStyle w:val="ListParagraph"/>
        <w:numPr>
          <w:ilvl w:val="0"/>
          <w:numId w:val="2"/>
        </w:numPr>
        <w:spacing w:after="80"/>
      </w:pPr>
      <w:r>
        <w:t xml:space="preserve">EDR (no endpoint agent deployed), network protection layer, crypto asset access inventory, ongoing monitoring or support, incident response capability</w:t>
      </w:r>
    </w:p>
    <w:p>
      <w:pPr>
        <w:spacing w:after="120"/>
      </w:pPr>
      <w:r>
        <w:t xml:space="preserve">Honest framing to the client: 'You will be meaningfully more secure than you were. You will not be protected against a sophisticated, targeted attack.'</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Tier 2 — Security Essentials</w:t>
            </w:r>
          </w:p>
        </w:tc>
        <w:tc>
          <w:tcPr>
            <w:tcW w:type="dxa" w:w="536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The Jetta</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Price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$22,000 fixed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Timeline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 weeks / 6–8 sessions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Target client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$50M–$150M fund, BYOD, no current security program, one investor/regulatory conversation prompting action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Andy's hours (est.)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50–60 hours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Effective rate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~$370–440/hour</w:t>
            </w:r>
          </w:p>
        </w:tc>
      </w:tr>
    </w:tbl>
    <w:p>
      <w:pPr>
        <w:spacing w:after="80"/>
      </w:pPr>
      <w:r>
        <w:t xml:space="preserve"/>
      </w:r>
    </w:p>
    <w:p>
      <w:pPr>
        <w:pStyle w:val="Heading3"/>
        <w:spacing w:after="80" w:before="180"/>
      </w:pPr>
      <w:r>
        <w:t xml:space="preserve">Tier 2 — What's Included (in addition to Tier 1)</w:t>
      </w:r>
    </w:p>
    <w:p>
      <w:pPr>
        <w:pStyle w:val="ListParagraph"/>
        <w:numPr>
          <w:ilvl w:val="0"/>
          <w:numId w:val="2"/>
        </w:numPr>
        <w:spacing w:after="80"/>
      </w:pPr>
      <w:r>
        <w:t xml:space="preserve">EDR deployment — SentinelOne Singularity Control (~$79.99/device/year): agent deployment across all BYOD devices, configuration and policy setup, client training on console basics, named escalation path documented</w:t>
      </w:r>
    </w:p>
    <w:p>
      <w:pPr>
        <w:pStyle w:val="ListParagraph"/>
        <w:numPr>
          <w:ilvl w:val="0"/>
          <w:numId w:val="2"/>
        </w:numPr>
        <w:spacing w:after="80"/>
      </w:pPr>
      <w:r>
        <w:t xml:space="preserve">Network protection — Cloudflare WARP / Zero Trust: DNS filtering across all devices, malicious domain blocking, Zero Trust policy baseline</w:t>
      </w:r>
    </w:p>
    <w:p>
      <w:pPr>
        <w:pStyle w:val="ListParagraph"/>
        <w:numPr>
          <w:ilvl w:val="0"/>
          <w:numId w:val="2"/>
        </w:numPr>
        <w:spacing w:after="80"/>
      </w:pPr>
      <w:r>
        <w:t xml:space="preserve">Onboarding/offboarding playbook covering IDP, password manager, EDR, and network protection</w:t>
      </w:r>
    </w:p>
    <w:p>
      <w:pPr>
        <w:pStyle w:val="ListParagraph"/>
        <w:numPr>
          <w:ilvl w:val="0"/>
          <w:numId w:val="2"/>
        </w:numPr>
        <w:spacing w:after="80"/>
      </w:pPr>
      <w:r>
        <w:t xml:space="preserve">Privacy disclosure document: plain-English explanation of what each tool sees and who holds the keys, delivered before any deployment</w:t>
      </w:r>
    </w:p>
    <w:p>
      <w:pPr>
        <w:pStyle w:val="Heading3"/>
        <w:spacing w:after="80" w:before="180"/>
      </w:pPr>
      <w:r>
        <w:t xml:space="preserve">Tier 2 — Post-Handoff</w:t>
      </w:r>
    </w:p>
    <w:p>
      <w:pPr>
        <w:spacing w:after="120"/>
      </w:pPr>
      <w:r>
        <w:t xml:space="preserve">Client's designated admin holds the SentinelOne console. Andy provides one month of email support post-delivery. After that, incident response goes directly to SentinelOne's included IR team — Andy is not in the chain. This must be stated clearly in the contract.</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Tier 3 — Security Program</w:t>
            </w:r>
          </w:p>
        </w:tc>
        <w:tc>
          <w:tcPr>
            <w:tcW w:type="dxa" w:w="536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The Cadillac</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Price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$35,000 fixed</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Timeline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 weeks / 10–14 sessions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Target client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$100M–$500M fund, institutional investors in cap table, wants a complete program — not a checklist</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Andy's hours (est.)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100–125 hours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Effective rate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~$280–350/hour</w:t>
            </w:r>
          </w:p>
        </w:tc>
      </w:tr>
    </w:tbl>
    <w:p>
      <w:pPr>
        <w:spacing w:after="80"/>
      </w:pPr>
      <w:r>
        <w:t xml:space="preserve"/>
      </w:r>
    </w:p>
    <w:p>
      <w:pPr>
        <w:pStyle w:val="Heading3"/>
        <w:spacing w:after="80" w:before="180"/>
      </w:pPr>
      <w:r>
        <w:t xml:space="preserve">Tier 3 — What's Included (in addition to Tiers 1 &amp; 2)</w:t>
      </w:r>
    </w:p>
    <w:p>
      <w:pPr>
        <w:pStyle w:val="ListParagraph"/>
        <w:numPr>
          <w:ilvl w:val="0"/>
          <w:numId w:val="2"/>
        </w:numPr>
        <w:spacing w:after="80"/>
      </w:pPr>
      <w:r>
        <w:t xml:space="preserve">EDR upgrade to managed SOC: Huntress (preferred, pending channel verification) with 24/7 SOC monitoring and plain-English alert delivery; OR SentinelOne with documented IR escalation path if Huntress unresolved</w:t>
      </w:r>
    </w:p>
    <w:p>
      <w:pPr>
        <w:pStyle w:val="ListParagraph"/>
        <w:numPr>
          <w:ilvl w:val="0"/>
          <w:numId w:val="2"/>
        </w:numPr>
        <w:spacing w:after="80"/>
      </w:pPr>
      <w:r>
        <w:t xml:space="preserve">Sublime Security (email BEC protection): included in Tier 3 base scope for clients with email-based transaction approvals or significant wire transfer volume. BEC — fake wire instructions, impersonation of counterparties — is not a link-click problem; Cloudflare's RBI doesn't address it. Sublime catches it pre-delivery.</w:t>
      </w:r>
    </w:p>
    <w:p>
      <w:pPr>
        <w:pStyle w:val="ListParagraph"/>
        <w:numPr>
          <w:ilvl w:val="0"/>
          <w:numId w:val="2"/>
        </w:numPr>
        <w:spacing w:after="80"/>
      </w:pPr>
      <w:r>
        <w:t xml:space="preserve">Crypto asset access inventory: audit of who has access to what (exchange accounts, wallets, custodians, API keys), access control recommendations, offboarding implications documented</w:t>
      </w:r>
    </w:p>
    <w:p>
      <w:pPr>
        <w:pStyle w:val="ListParagraph"/>
        <w:numPr>
          <w:ilvl w:val="0"/>
          <w:numId w:val="2"/>
        </w:numPr>
        <w:spacing w:after="80"/>
      </w:pPr>
      <w:r>
        <w:t xml:space="preserve">SaaS visibility audit: shadow IT discovery, OAuth grant review, consolidation and revocation recommendations</w:t>
      </w:r>
    </w:p>
    <w:p>
      <w:pPr>
        <w:pStyle w:val="ListParagraph"/>
        <w:numPr>
          <w:ilvl w:val="0"/>
          <w:numId w:val="2"/>
        </w:numPr>
        <w:spacing w:after="80"/>
      </w:pPr>
      <w:r>
        <w:t xml:space="preserve">Full onboarding/offboarding playbook: covers all tools, all access points, crypto asset access — executable by a non-technical operator</w:t>
      </w:r>
    </w:p>
    <w:p>
      <w:pPr>
        <w:pStyle w:val="ListParagraph"/>
        <w:numPr>
          <w:ilvl w:val="0"/>
          <w:numId w:val="2"/>
        </w:numPr>
        <w:spacing w:after="80"/>
      </w:pPr>
      <w:r>
        <w:t xml:space="preserve">Compliance documentation package: written security program summary suitable for SEC examination, controls mapped to SEC cybersecurity rule, investor DDQ answers pre-written</w:t>
      </w:r>
    </w:p>
    <w:p>
      <w:pPr>
        <w:pStyle w:val="ListParagraph"/>
        <w:numPr>
          <w:ilvl w:val="0"/>
          <w:numId w:val="2"/>
        </w:numPr>
        <w:spacing w:after="80"/>
      </w:pPr>
      <w:r>
        <w:t xml:space="preserve">Staff security training session: 60–90 minutes covering threat landscape, Telegram/Zoom hygiene, phishing, social engineering specific to crypto — recorded for future onboarding</w:t>
      </w:r>
    </w:p>
    <w:p>
      <w:pPr>
        <w:pStyle w:val="Heading3"/>
        <w:spacing w:after="80" w:before="180"/>
      </w:pPr>
      <w:r>
        <w:t xml:space="preserve">Tier 3 — Post-Handoff</w:t>
      </w:r>
    </w:p>
    <w:p>
      <w:pPr>
        <w:spacing w:after="120"/>
      </w:pPr>
      <w:r>
        <w:t xml:space="preserve">Handled by the SOC (Huntress preferred) or SentinelOne IR team. Andy's role ends at handoff. One month of email support included. No on-call obligation.</w:t>
      </w:r>
    </w:p>
    <w:p>
      <w:pPr>
        <w:spacing w:after="80"/>
      </w:pPr>
      <w:r>
        <w:t xml:space="preserve"/>
      </w:r>
    </w:p>
    <w:p>
      <w:r>
        <w:br w:type="page"/>
      </w:r>
    </w:p>
    <w:p>
      <w:pPr>
        <w:pStyle w:val="Heading1"/>
        <w:spacing w:after="160" w:before="360"/>
      </w:pPr>
      <w:r>
        <w:t xml:space="preserve">3. Add-Ons &amp; Conversion Path</w:t>
      </w:r>
    </w:p>
    <w:p>
      <w:pPr>
        <w:pStyle w:val="Heading2"/>
        <w:spacing w:after="120" w:before="240"/>
      </w:pPr>
      <w:r>
        <w:t xml:space="preserve">3.1 Add-Ons (All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960"/>
      </w:tblGrid>
      <w:tr>
        <w:tc>
          <w:tcPr>
            <w:tcW w:type="dxa" w:w="32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Add-On</w:t>
            </w:r>
          </w:p>
        </w:tc>
        <w:tc>
          <w:tcPr>
            <w:tcW w:type="dxa" w:w="22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Price</w:t>
            </w:r>
          </w:p>
        </w:tc>
        <w:tc>
          <w:tcPr>
            <w:tcW w:type="dxa" w:w="396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Monthly retainer (fractional security advisor)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$2,500–$3,500/month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Quarterly check-ins, policy updates, incident escalation point. Not on-call IR.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Email BEC protection (Sublime Security)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$2,500 setup + licensing</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For Tier 1/2 clients handling wire transfers or counterparty approvals via email. Included in Tier 3.</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Penetration test referral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Pass-through</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Andy refers to vetted pen tester; does not deliver</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Formal ISMS / compliance framework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Scope TBD</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Separate engagement; SOC 2 or ISO 27001 readiness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Additional device / team expansion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$500–$1,000/device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For firms that grow after initial deployment</w:t>
            </w:r>
          </w:p>
        </w:tc>
      </w:tr>
    </w:tbl>
    <w:p>
      <w:pPr>
        <w:spacing w:after="80"/>
      </w:pPr>
      <w:r>
        <w:t xml:space="preserve"/>
      </w:r>
    </w:p>
    <w:p>
      <w:pPr>
        <w:pStyle w:val="Heading2"/>
        <w:spacing w:after="120" w:before="240"/>
      </w:pPr>
      <w:r>
        <w:t xml:space="preserve">3.2 Natural Conversion Path</w:t>
      </w:r>
    </w:p>
    <w:p>
      <w:pPr>
        <w:pStyle w:val="ListParagraph"/>
        <w:numPr>
          <w:ilvl w:val="0"/>
          <w:numId w:val="2"/>
        </w:numPr>
        <w:spacing w:after="80"/>
      </w:pPr>
      <w:r>
        <w:t xml:space="preserve">Ongoing monitoring and program management retainer: ~$2,500/month</w:t>
      </w:r>
    </w:p>
    <w:p>
      <w:pPr>
        <w:pStyle w:val="ListParagraph"/>
        <w:numPr>
          <w:ilvl w:val="0"/>
          <w:numId w:val="2"/>
        </w:numPr>
        <w:spacing w:after="80"/>
      </w:pPr>
      <w:r>
        <w:t xml:space="preserve">Detection platform implementation (RunReveal): $8–12K estimated</w:t>
      </w:r>
    </w:p>
    <w:p>
      <w:pPr>
        <w:pStyle w:val="ListParagraph"/>
        <w:numPr>
          <w:ilvl w:val="0"/>
          <w:numId w:val="2"/>
        </w:numPr>
        <w:spacing w:after="80"/>
      </w:pPr>
      <w:r>
        <w:t xml:space="preserve">SaaS visibility (Nudge Security): $3–5K estimated</w:t>
      </w:r>
    </w:p>
    <w:p>
      <w:pPr>
        <w:pStyle w:val="ListParagraph"/>
        <w:numPr>
          <w:ilvl w:val="0"/>
          <w:numId w:val="2"/>
        </w:numPr>
        <w:spacing w:after="80"/>
      </w:pPr>
      <w:r>
        <w:t xml:space="preserve">Annual security assessment / playbook updates: $5–10K estimated</w:t>
      </w:r>
    </w:p>
    <w:p>
      <w:pPr>
        <w:pStyle w:val="ListParagraph"/>
        <w:numPr>
          <w:ilvl w:val="0"/>
          <w:numId w:val="2"/>
        </w:numPr>
        <w:spacing w:after="80"/>
      </w:pPr>
      <w:r>
        <w:t xml:space="preserve">ISMS framework and compliance readiness: separate engagement</w:t>
      </w:r>
    </w:p>
    <w:p>
      <w:pPr>
        <w:pStyle w:val="ListParagraph"/>
        <w:numPr>
          <w:ilvl w:val="0"/>
          <w:numId w:val="2"/>
        </w:numPr>
        <w:spacing w:after="80"/>
      </w:pPr>
      <w:r>
        <w:t xml:space="preserve">AI workflow implementation (separate Archetype pillar)</w:t>
      </w:r>
    </w:p>
    <w:p>
      <w:pPr>
        <w:pStyle w:val="ListParagraph"/>
        <w:numPr>
          <w:ilvl w:val="0"/>
          <w:numId w:val="2"/>
        </w:numPr>
        <w:spacing w:after="80"/>
      </w:pPr>
      <w:r>
        <w:t xml:space="preserve">Full fractional CTO retainer</w:t>
      </w:r>
    </w:p>
    <w:p>
      <w:pPr>
        <w:spacing w:after="120"/>
      </w:pPr>
      <w:r>
        <w:t xml:space="preserve">A Tier 1 client who gets a real investor inquiry six months later is a Tier 3 renewal conversation. The tiers are not just market segmentation — they are a natural upgrade sequence.</w:t>
      </w:r>
    </w:p>
    <w:p>
      <w:pPr>
        <w:spacing w:after="80"/>
      </w:pPr>
      <w:r>
        <w:t xml:space="preserve"/>
      </w:r>
    </w:p>
    <w:p>
      <w:r>
        <w:br w:type="page"/>
      </w:r>
    </w:p>
    <w:p>
      <w:pPr>
        <w:pStyle w:val="Heading1"/>
        <w:spacing w:after="160" w:before="360"/>
      </w:pPr>
      <w:r>
        <w:t xml:space="preserve">4. Pricing Rationale</w:t>
      </w:r>
    </w:p>
    <w:p>
      <w:pPr>
        <w:pStyle w:val="Heading2"/>
        <w:spacing w:after="120" w:before="240"/>
      </w:pPr>
      <w:r>
        <w:t xml:space="preserve">4.1 What the Market Can Spend</w:t>
      </w:r>
    </w:p>
    <w:p>
      <w:pPr>
        <w:spacing w:after="120"/>
      </w:pPr>
      <w:r>
        <w:t xml:space="preserve">A $100M AUM crypto fund on a 2% management fee generates $2M in annual revenue. After operating expenses, discretionary spend is roughly $200K–$400K. Security is not a proactive budget line — it enters via regulatory pressure, investor pressure, or incident proximity. The $10K–$35K range is approvable by a COO or operating partner without board friction. Above $50K typically requires investment committee sign-off.</w:t>
      </w:r>
    </w:p>
    <w:p>
      <w:pPr>
        <w:spacing w:after="80"/>
      </w:pPr>
      <w:r>
        <w:t xml:space="preserve"/>
      </w:r>
    </w:p>
    <w:p>
      <w:pPr>
        <w:pStyle w:val="Heading2"/>
        <w:spacing w:after="120" w:before="240"/>
      </w:pPr>
      <w:r>
        <w:t xml:space="preserve">4.2 The $35K Cadillac — Four Constraints</w:t>
      </w:r>
    </w:p>
    <w:p>
      <w:pPr>
        <w:pStyle w:val="ListParagraph"/>
        <w:numPr>
          <w:ilvl w:val="0"/>
          <w:numId w:val="3"/>
        </w:numPr>
        <w:spacing w:after="80"/>
      </w:pPr>
      <w:r>
        <w:t xml:space="preserve">Cost floor: 125 hours x blended rate = ~$25K labor. $35K provides a ~40% margin — adequate for a solo practice.</w:t>
      </w:r>
    </w:p>
    <w:p>
      <w:pPr>
        <w:pStyle w:val="ListParagraph"/>
        <w:numPr>
          <w:ilvl w:val="0"/>
          <w:numId w:val="3"/>
        </w:numPr>
        <w:spacing w:after="80"/>
      </w:pPr>
      <w:r>
        <w:t xml:space="preserve">Decision authority ceiling: $35K is approvable by a COO unilaterally, especially framed as regulatory compliance spend.</w:t>
      </w:r>
    </w:p>
    <w:p>
      <w:pPr>
        <w:pStyle w:val="ListParagraph"/>
        <w:numPr>
          <w:ilvl w:val="0"/>
          <w:numId w:val="3"/>
        </w:numPr>
        <w:spacing w:after="80"/>
      </w:pPr>
      <w:r>
        <w:t xml:space="preserve">Market positioning: annual MSSP or vCISO coverage for a 10-person firm runs $72K–$120K/year. $35K one-time is less than half the cost of year-one managed services — and the client owns the infrastructure afterward.</w:t>
      </w:r>
    </w:p>
    <w:p>
      <w:pPr>
        <w:pStyle w:val="ListParagraph"/>
        <w:numPr>
          <w:ilvl w:val="0"/>
          <w:numId w:val="3"/>
        </w:numPr>
        <w:spacing w:after="80"/>
      </w:pPr>
      <w:r>
        <w:t xml:space="preserve">Value anchoring: conservative expected breach cost for a $100M crypto fund (direct + investor redemptions + regulatory) runs $22M–$36M. $35K is 0.1% of the conservative loss scenario. The ROI math is not the sales pitch — it is the backstop when a prospect pushes back on price.</w:t>
      </w:r>
    </w:p>
    <w:p>
      <w:pPr>
        <w:spacing w:after="80"/>
      </w:pPr>
      <w:r>
        <w:t xml:space="preserve"/>
      </w:r>
    </w:p>
    <w:p>
      <w:pPr>
        <w:pStyle w:val="Heading2"/>
        <w:spacing w:after="120" w:before="240"/>
      </w:pPr>
      <w:r>
        <w:t xml:space="preserve">4.3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A030" w:sz="12"/>
              <w:bottom w:val="single" w:color="CCCCCC" w:sz="1"/>
              <w:right w:val="none" w:color="FFFFFF" w:sz="0"/>
            </w:tcBorders>
            <w:shd w:fill="FFF8EC" w:val="clear"/>
            <w:tcMar>
              <w:top w:type="dxa" w:w="100"/>
              <w:left w:type="dxa" w:w="200"/>
              <w:bottom w:type="dxa" w:w="100"/>
              <w:right w:type="dxa" w:w="200"/>
            </w:tcMar>
          </w:tcPr>
          <w:p>
            <w:pPr>
              <w:spacing w:after="0"/>
            </w:pPr>
            <w:r>
              <w:rPr>
                <w:b/>
                <w:bCs/>
                <w:color w:val="996600"/>
                <w:sz w:val="20"/>
                <w:szCs w:val="20"/>
              </w:rPr>
              <w:t xml:space="preserve">NOTE:  </w:t>
            </w:r>
            <w:r>
              <w:rPr>
                <w:color w:val="444444"/>
                <w:sz w:val="20"/>
                <w:szCs w:val="20"/>
              </w:rPr>
              <w:t xml:space="preserve">No live market validation yet. The $12K/$22K/$35K structure is research-informed; it needs 5–10 warm conversations to test where friction actually appears. Andy has not validated the $35K number personally — built bottom-up from hours. Value-based methodology would anchor to the DFS conversation with the specific buyer.</w:t>
            </w:r>
          </w:p>
        </w:tc>
      </w:tr>
    </w:tbl>
    <w:p>
      <w:pPr>
        <w:spacing w:after="80"/>
      </w:pPr>
      <w:r>
        <w:t xml:space="preserve"/>
      </w:r>
    </w:p>
    <w:p>
      <w:r>
        <w:br w:type="page"/>
      </w:r>
    </w:p>
    <w:p>
      <w:pPr>
        <w:pStyle w:val="Heading1"/>
        <w:spacing w:after="160" w:before="360"/>
      </w:pPr>
      <w:r>
        <w:t xml:space="preserve">5. Tool Decisions &amp; Architecture</w:t>
      </w:r>
    </w:p>
    <w:p>
      <w:pPr>
        <w:pStyle w:val="Heading2"/>
        <w:spacing w:after="120" w:before="240"/>
      </w:pPr>
      <w:r>
        <w:t xml:space="preserve">5.1 EDR — Current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500"/>
        <w:gridCol w:w="4260"/>
      </w:tblGrid>
      <w:tr>
        <w:tc>
          <w:tcPr>
            <w:tcW w:type="dxa" w:w="26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Tool</w:t>
            </w:r>
          </w:p>
        </w:tc>
        <w:tc>
          <w:tcPr>
            <w:tcW w:type="dxa" w:w="25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Status</w:t>
            </w:r>
          </w:p>
        </w:tc>
        <w:tc>
          <w:tcPr>
            <w:tcW w:type="dxa" w:w="426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Notes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SentinelOne Singularity Control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Default for Tiers 1–3</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~$79.99/device/year. AI-driven autonomous response. Unlimited IR hours included. Strong BYOD/mobile support. Privacy story requires the 'security instrumentation vs. surveillance' reframe.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CrowdStrike Falcon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Viable alternative</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~$99.99/device/year. RTR objection manageable with right framing. Austin Quam recommends 'Falcon is still the best.' Many teams never touch RTR in normal operations.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Huntress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Tier 3 preferred if channel question resolves</w:t>
            </w:r>
          </w:p>
        </w:tc>
        <w:tc>
          <w:tcPr>
            <w:tcW w:type="dxa" w:w="42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24/7 SOC handles IR — solves Andy's post-engagement operational problem. OPEN QUESTION: does Huntress partner channel allow clean client handoff post-engagement? Privacy story not cleaner. 50-endpoint minimum across partner accounts. Needs direct call with Huntress partner team.</w:t>
            </w:r>
          </w:p>
        </w:tc>
      </w:tr>
    </w:tbl>
    <w:p>
      <w:pPr>
        <w:spacing w:after="80"/>
      </w:pPr>
      <w:r>
        <w:t xml:space="preserve"/>
      </w:r>
    </w:p>
    <w:p>
      <w:pPr>
        <w:pStyle w:val="Heading2"/>
        <w:spacing w:after="120" w:before="240"/>
      </w:pPr>
      <w:r>
        <w:t xml:space="preserve">5.2 Network Protection</w:t>
      </w:r>
    </w:p>
    <w:p>
      <w:pPr>
        <w:pStyle w:val="ListParagraph"/>
        <w:numPr>
          <w:ilvl w:val="0"/>
          <w:numId w:val="2"/>
        </w:numPr>
        <w:spacing w:after="80"/>
      </w:pPr>
      <w:r>
        <w:t xml:space="preserve">Default: Cloudflare WARP + Zero Trust — DNS filtering, malicious domain blocking, Remote Browser Isolation (RBI) for suspicious email links. Cloudflare received 5.0/5.0 in malicious URL detection in the Forrester Wave for Email Security, Q2 2025.</w:t>
      </w:r>
    </w:p>
    <w:p>
      <w:pPr>
        <w:pStyle w:val="ListParagraph"/>
        <w:numPr>
          <w:ilvl w:val="0"/>
          <w:numId w:val="2"/>
        </w:numPr>
        <w:spacing w:after="80"/>
      </w:pPr>
      <w:r>
        <w:t xml:space="preserve">Privacy-preserving alternative: Tailscale + NextDNS (~$12–13/user/month combined). NextDNS offers regional data storage, no upstream logging. Viable swap if client objects specifically to Cloudflare.</w:t>
      </w:r>
    </w:p>
    <w:p>
      <w:pPr>
        <w:pStyle w:val="ListParagraph"/>
        <w:numPr>
          <w:ilvl w:val="0"/>
          <w:numId w:val="2"/>
        </w:numPr>
        <w:spacing w:after="80"/>
      </w:pPr>
      <w:r>
        <w:t xml:space="preserve">Important architectural note: Tailscale is NOT a replacement for Cloudflare WARP. Tailscale = mesh VPN for internal network access. WARP = DNS filtering and threat blocking for internet-bound traffic. Different problems.</w:t>
      </w:r>
    </w:p>
    <w:p>
      <w:pPr>
        <w:spacing w:after="80"/>
      </w:pPr>
      <w:r>
        <w:t xml:space="preserve"/>
      </w:r>
    </w:p>
    <w:p>
      <w:pPr>
        <w:pStyle w:val="Heading2"/>
        <w:spacing w:after="120" w:before="240"/>
      </w:pPr>
      <w:r>
        <w:t xml:space="preserve">5.3 Password Manager</w:t>
      </w:r>
    </w:p>
    <w:p>
      <w:pPr>
        <w:pStyle w:val="ListParagraph"/>
        <w:numPr>
          <w:ilvl w:val="0"/>
          <w:numId w:val="2"/>
        </w:numPr>
        <w:spacing w:after="80"/>
      </w:pPr>
      <w:r>
        <w:t xml:space="preserve">Candidates: 1Password (Teams/Business) or Bitwarden</w:t>
      </w:r>
    </w:p>
    <w:p>
      <w:pPr>
        <w:pStyle w:val="ListParagraph"/>
        <w:numPr>
          <w:ilvl w:val="0"/>
          <w:numId w:val="2"/>
        </w:numPr>
        <w:spacing w:after="80"/>
      </w:pPr>
      <w:r>
        <w:t xml:space="preserve">Single tool only — splitting tools (1Password for passwords, Bitwarden for TOTP) adds unnecessary complexity for small teams</w:t>
      </w:r>
    </w:p>
    <w:p>
      <w:pPr>
        <w:pStyle w:val="ListParagraph"/>
        <w:numPr>
          <w:ilvl w:val="0"/>
          <w:numId w:val="2"/>
        </w:numPr>
        <w:spacing w:after="80"/>
      </w:pPr>
      <w:r>
        <w:t xml:space="preserve">Hardware MFA (YubiKeys) for principals and high-risk roles</w:t>
      </w:r>
    </w:p>
    <w:p>
      <w:pPr>
        <w:pStyle w:val="ListParagraph"/>
        <w:numPr>
          <w:ilvl w:val="0"/>
          <w:numId w:val="2"/>
        </w:numPr>
        <w:spacing w:after="80"/>
      </w:pPr>
      <w:r>
        <w:t xml:space="preserve">Full team adoption verified — not just deployed</w:t>
      </w:r>
    </w:p>
    <w:p>
      <w:pPr>
        <w:spacing w:after="80"/>
      </w:pPr>
      <w:r>
        <w:t xml:space="preserve"/>
      </w:r>
    </w:p>
    <w:p>
      <w:pPr>
        <w:pStyle w:val="Heading2"/>
        <w:spacing w:after="120" w:before="240"/>
      </w:pPr>
      <w:r>
        <w:t xml:space="preserve">5.4 Email / Anti-Phishing</w:t>
      </w:r>
    </w:p>
    <w:p>
      <w:pPr>
        <w:spacing w:after="120"/>
      </w:pPr>
      <w:r>
        <w:t xml:space="preserve">Cloudflare WARP + RBI covers phishing links delivered via Telegram, Discord, or any channel outside email (DNS blocking before page loads; RBI executes in isolated browser). Sublime Security covers BEC and impersonation — fake wire instructions, counterparty fraud, fake KYC requests — which are social engineering problems that don't go through Telegram and that CFZT provides zero protection against.</w:t>
      </w:r>
    </w:p>
    <w:p>
      <w:pPr>
        <w:spacing w:after="120"/>
      </w:pPr>
      <w:r>
        <w:rPr>
          <w:b/>
          <w:bCs/>
        </w:rPr>
        <w:t xml:space="preserve">Tier 1/2:</w:t>
      </w:r>
      <w:r>
        <w:t xml:space="preserve"> CFZT covers the most acute crypto-specific threat. Sublime is available as add-on specifically for clients handling wire transfers or counterparty approvals via email. Framing: 'Email BEC protection' — not generic phishing.</w:t>
      </w:r>
    </w:p>
    <w:p>
      <w:pPr>
        <w:spacing w:after="120"/>
      </w:pPr>
      <w:r>
        <w:rPr>
          <w:b/>
          <w:bCs/>
        </w:rPr>
        <w:t xml:space="preserve">Tier 3:</w:t>
      </w:r>
      <w:r>
        <w:t xml:space="preserve"> Sublime included in base scope. At $100M–$500M AUM, a single successful BEC attempt could represent millions in misdirected wires. The $2,500 setup cost is noise relative to the risk.</w:t>
      </w:r>
    </w:p>
    <w:p>
      <w:pPr>
        <w:spacing w:after="80"/>
      </w:pPr>
      <w:r>
        <w:t xml:space="preserve"/>
      </w:r>
    </w:p>
    <w:p>
      <w:r>
        <w:br w:type="page"/>
      </w:r>
    </w:p>
    <w:p>
      <w:pPr>
        <w:pStyle w:val="Heading1"/>
        <w:spacing w:after="160" w:before="360"/>
      </w:pPr>
      <w:r>
        <w:t xml:space="preserve">6. The Privacy Objection</w:t>
      </w:r>
    </w:p>
    <w:p>
      <w:pPr>
        <w:spacing w:after="120"/>
      </w:pPr>
      <w:r>
        <w:t xml:space="preserve">Predictable and structural at crypto-native firms. Must be addressed proactively, not reactively. The reframe:</w:t>
      </w:r>
    </w:p>
    <w:p>
      <w:pPr>
        <w:spacing w:after="120"/>
      </w:pPr>
      <w:r>
        <w:t xml:space="preserve">Privacy in security is never a choice between 'someone knows' and 'no one knows.' It is always a choice between who knows, under what terms, with what incentives.</w:t>
      </w:r>
    </w:p>
    <w:p>
      <w:pPr>
        <w:pStyle w:val="ListParagraph"/>
        <w:numPr>
          <w:ilvl w:val="0"/>
          <w:numId w:val="2"/>
        </w:numPr>
        <w:spacing w:after="80"/>
      </w:pPr>
      <w:r>
        <w:t xml:space="preserve">On DNS/WARP: Every network resolves your DNS somewhere — your ISP, hotel Wi-Fi, coffee shop router. Those actors have no relationship with you, no accountability, and in the US, ISPs have legal authority to sell aggregated DNS data. Turning off WARP means unknown actors with bad incentives see your DNS instead of a known, accountable party with defined retention policies.</w:t>
      </w:r>
    </w:p>
    <w:p>
      <w:pPr>
        <w:pStyle w:val="ListParagraph"/>
        <w:numPr>
          <w:ilvl w:val="0"/>
          <w:numId w:val="2"/>
        </w:numPr>
        <w:spacing w:after="80"/>
      </w:pPr>
      <w:r>
        <w:t xml:space="preserve">On EDR: The alternative to CrowdStrike's or SentinelOne's audited, time-bounded remote access in a confirmed incident is not 'no one can access my machine.' It is that attackers have unlimited, unaudited access with no constraints. You are choosing between a known accountable actor with narrow documented access and an unknown attacker with total access.</w:t>
      </w:r>
    </w:p>
    <w:p>
      <w:pPr>
        <w:pStyle w:val="ListParagraph"/>
        <w:numPr>
          <w:ilvl w:val="0"/>
          <w:numId w:val="2"/>
        </w:numPr>
        <w:spacing w:after="80"/>
      </w:pPr>
      <w:r>
        <w:t xml:space="preserve">The meta-argument: surveillance (watching to build a profile or sell data) vs. security instrumentation (watching for specific threat signals so a known party can respond). Same technical mechanisms, fundamentally different purpose, governance, and incentive.</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A030" w:sz="12"/>
              <w:bottom w:val="single" w:color="CCCCCC" w:sz="1"/>
              <w:right w:val="none" w:color="FFFFFF" w:sz="0"/>
            </w:tcBorders>
            <w:shd w:fill="FFF8EC" w:val="clear"/>
            <w:tcMar>
              <w:top w:type="dxa" w:w="100"/>
              <w:left w:type="dxa" w:w="200"/>
              <w:bottom w:type="dxa" w:w="100"/>
              <w:right w:type="dxa" w:w="200"/>
            </w:tcMar>
          </w:tcPr>
          <w:p>
            <w:pPr>
              <w:spacing w:after="0"/>
            </w:pPr>
            <w:r>
              <w:rPr>
                <w:b/>
                <w:bCs/>
                <w:color w:val="996600"/>
                <w:sz w:val="20"/>
                <w:szCs w:val="20"/>
              </w:rPr>
              <w:t xml:space="preserve">DELIVERY RULE:  </w:t>
            </w:r>
            <w:r>
              <w:rPr>
                <w:color w:val="444444"/>
                <w:sz w:val="20"/>
                <w:szCs w:val="20"/>
              </w:rPr>
              <w:t xml:space="preserve">Every engagement includes a one-page Privacy and Data Governance document delivered on day one, before any tool is deployed. It names what each tool can see, who has admin access, under what conditions, and data retention. It converts the objection into a demonstration of competence and trust.</w:t>
            </w:r>
          </w:p>
        </w:tc>
      </w:tr>
    </w:tbl>
    <w:p>
      <w:pPr>
        <w:spacing w:after="80"/>
      </w:pPr>
      <w:r>
        <w:t xml:space="preserve"/>
      </w:r>
    </w:p>
    <w:p>
      <w:r>
        <w:br w:type="page"/>
      </w:r>
    </w:p>
    <w:p>
      <w:pPr>
        <w:pStyle w:val="Heading1"/>
        <w:spacing w:after="160" w:before="360"/>
      </w:pPr>
      <w:r>
        <w:t xml:space="preserve">7. Competitive Positioning vs. Boutique Security Firms</w:t>
      </w:r>
    </w:p>
    <w:p>
      <w:pPr>
        <w:spacing w:after="120"/>
      </w:pPr>
      <w:r>
        <w:t xml:space="preserve">When a prospect is also considering a boutique MSSP, fractional CISO firm (Fortium Partners, Netrix, etc.), or regional managed security provider, the argument is not credentials vs. credentials. It is accountable operator vs. vendor relationship.</w:t>
      </w:r>
    </w:p>
    <w:p>
      <w:pPr>
        <w:spacing w:after="80"/>
      </w:pPr>
      <w:r>
        <w:t xml:space="preserve"/>
      </w:r>
    </w:p>
    <w:p>
      <w:pPr>
        <w:pStyle w:val="Heading2"/>
        <w:spacing w:after="120" w:before="240"/>
      </w:pPr>
      <w:r>
        <w:t xml:space="preserve">7.1 Their Real Advantages (Honest Assessment)</w:t>
      </w:r>
    </w:p>
    <w:p>
      <w:pPr>
        <w:pStyle w:val="ListParagraph"/>
        <w:numPr>
          <w:ilvl w:val="0"/>
          <w:numId w:val="2"/>
        </w:numPr>
        <w:spacing w:after="80"/>
      </w:pPr>
      <w:r>
        <w:t xml:space="preserve">Bench depth: a team-based MSSP can guarantee 24/7 incident response coverage without depending on one person's availability. Andy cannot — and is explicitly not doing post-engagement IR.</w:t>
      </w:r>
    </w:p>
    <w:p>
      <w:pPr>
        <w:pStyle w:val="ListParagraph"/>
        <w:numPr>
          <w:ilvl w:val="0"/>
          <w:numId w:val="2"/>
        </w:numPr>
        <w:spacing w:after="80"/>
      </w:pPr>
      <w:r>
        <w:t xml:space="preserve">Credentialing: CISSP, CISM, CISA certifications carry weight with compliance-driven buyers, especially ex-TradFi. Andy's credentials are practical and demonstrated, not alphabet soup.</w:t>
      </w:r>
    </w:p>
    <w:p>
      <w:pPr>
        <w:pStyle w:val="ListParagraph"/>
        <w:numPr>
          <w:ilvl w:val="0"/>
          <w:numId w:val="2"/>
        </w:numPr>
        <w:spacing w:after="80"/>
      </w:pPr>
      <w:r>
        <w:t xml:space="preserve">Vendor relationships: large MSSPs have preferred pricing, faster escalation paths, and dedicated TAMs with CrowdStrike, SentinelOne, etc. Andy is buying through partner tiers.</w:t>
      </w:r>
    </w:p>
    <w:p>
      <w:pPr>
        <w:pStyle w:val="ListParagraph"/>
        <w:numPr>
          <w:ilvl w:val="0"/>
          <w:numId w:val="2"/>
        </w:numPr>
        <w:spacing w:after="80"/>
      </w:pPr>
      <w:r>
        <w:t xml:space="preserve">Longevity optics: a firm with 15 people has a continuity answer. Andy's answer is that the engagement is designed to end cleanly and the client is not dependent afterward.</w:t>
      </w:r>
    </w:p>
    <w:p>
      <w:pPr>
        <w:spacing w:after="80"/>
      </w:pPr>
      <w:r>
        <w:t xml:space="preserve"/>
      </w:r>
    </w:p>
    <w:p>
      <w:pPr>
        <w:pStyle w:val="Heading2"/>
        <w:spacing w:after="120" w:before="240"/>
      </w:pPr>
      <w:r>
        <w:t xml:space="preserve">7.2 Where Andy Wins — And Why It's Decisive for This Market</w:t>
      </w:r>
    </w:p>
    <w:p>
      <w:pPr>
        <w:pStyle w:val="ListParagraph"/>
        <w:numPr>
          <w:ilvl w:val="0"/>
          <w:numId w:val="3"/>
        </w:numPr>
        <w:spacing w:after="80"/>
      </w:pPr>
      <w:r>
        <w:rPr>
          <w:b/>
          <w:bCs/>
        </w:rPr>
        <w:t xml:space="preserve">Skin in the game, not a service contract. </w:t>
      </w:r>
      <w:r>
        <w:t xml:space="preserve">Andy built and ran this program at Hyla and Amphibian as an embedded operator — not as a vendor. When an infection hit, Andy was in the Slack. His reputation was directly tied to the outcome. A boutique MSSP delivers a service. Andy delivers accountability. For a 10-person fund where the founder knows everyone, 'the person who built this program was referred by Andrew Hoppin' is worth more than a credentialed stranger with a firm behind them.</w:t>
      </w:r>
    </w:p>
    <w:p>
      <w:pPr>
        <w:pStyle w:val="ListParagraph"/>
        <w:numPr>
          <w:ilvl w:val="0"/>
          <w:numId w:val="3"/>
        </w:numPr>
        <w:spacing w:after="80"/>
      </w:pPr>
      <w:r>
        <w:rPr>
          <w:b/>
          <w:bCs/>
        </w:rPr>
        <w:t xml:space="preserve">Crypto-native threat model, not generic financial services. </w:t>
      </w:r>
      <w:r>
        <w:t xml:space="preserve">Most security firms are thinking about SOC 2, PCI-DSS, and ransomware. Andy is thinking about Stardust Chollima, fake Zoom malware, Telegram impersonation, BYOD exchange API key exposure, and seed phrase operational security. A boutique MSSP deploys their standard financial services playbook. Andy's playbook was built in response to actual active threat actors targeting this specific community.</w:t>
      </w:r>
    </w:p>
    <w:p>
      <w:pPr>
        <w:pStyle w:val="ListParagraph"/>
        <w:numPr>
          <w:ilvl w:val="0"/>
          <w:numId w:val="3"/>
        </w:numPr>
        <w:spacing w:after="80"/>
      </w:pPr>
      <w:r>
        <w:rPr>
          <w:b/>
          <w:bCs/>
        </w:rPr>
        <w:t xml:space="preserve">Fixed scope, fixed price, clean exit. </w:t>
      </w:r>
      <w:r>
        <w:t xml:space="preserve">Every fractional CISO and MSSP has a structural incentive to extend the engagement. Monthly retainers, quarterly reviews, annual renewals — the business model requires ongoing dependency. Andy's model does the opposite: define scope, deliver it, hand off cleanly. For a fund manager skeptical of ongoing vendor relationships, a fixed-price engagement with a clean handoff aligns incentives: Andy gets paid when the work is done well, not when the client stays dependent.</w:t>
      </w:r>
    </w:p>
    <w:p>
      <w:pPr>
        <w:pStyle w:val="ListParagraph"/>
        <w:numPr>
          <w:ilvl w:val="0"/>
          <w:numId w:val="3"/>
        </w:numPr>
        <w:spacing w:after="80"/>
      </w:pPr>
      <w:r>
        <w:rPr>
          <w:b/>
          <w:bCs/>
        </w:rPr>
        <w:t xml:space="preserve">No false bench. </w:t>
      </w:r>
      <w:r>
        <w:t xml:space="preserve">Andy is not pretending to be a team. He is a practitioner who built a real program and is doing it again. The engagement is scoped specifically to what one experienced person can deliver to a high standard in four weeks. There is no junior analyst touching the client's infrastructure.</w:t>
      </w:r>
    </w:p>
    <w:p>
      <w:pPr>
        <w:pStyle w:val="ListParagraph"/>
        <w:numPr>
          <w:ilvl w:val="0"/>
          <w:numId w:val="3"/>
        </w:numPr>
        <w:spacing w:after="80"/>
      </w:pPr>
      <w:r>
        <w:rPr>
          <w:b/>
          <w:bCs/>
        </w:rPr>
        <w:t xml:space="preserve">The Hyla program got tested. </w:t>
      </w:r>
      <w:r>
        <w:t xml:space="preserve">Andy built a security program at Hyla. The program was tested against actual Stardust Chollima / Lazarus Group malware. The fund was not compromised. The infection that occurred was detected and contained. The program held. Most security firms are selling a theoretical framework. Andy is selling a proven program. Andrew Hoppin's testimonial says this explicitly.</w:t>
      </w:r>
    </w:p>
    <w:p>
      <w:pPr>
        <w:spacing w:after="80"/>
      </w:pPr>
      <w:r>
        <w:t xml:space="preserve"/>
      </w:r>
    </w:p>
    <w:p>
      <w:pPr>
        <w:pStyle w:val="Heading2"/>
        <w:spacing w:after="120" w:before="240"/>
      </w:pPr>
      <w:r>
        <w:t xml:space="preserve">7.3 When Andy Loses This Comparison</w:t>
      </w:r>
    </w:p>
    <w:p>
      <w:pPr>
        <w:pStyle w:val="ListParagraph"/>
        <w:numPr>
          <w:ilvl w:val="0"/>
          <w:numId w:val="2"/>
        </w:numPr>
        <w:spacing w:after="80"/>
      </w:pPr>
      <w:r>
        <w:t xml:space="preserve">Client has already had a significant incident and needs active IR capability — Andy is not the right call.</w:t>
      </w:r>
    </w:p>
    <w:p>
      <w:pPr>
        <w:pStyle w:val="ListParagraph"/>
        <w:numPr>
          <w:ilvl w:val="0"/>
          <w:numId w:val="2"/>
        </w:numPr>
        <w:spacing w:after="80"/>
      </w:pPr>
      <w:r>
        <w:t xml:space="preserve">Compliance requirements (SOC 2, FCA, etc.) require ongoing documentation and attestation — a fractional CISO retainer is the right answer.</w:t>
      </w:r>
    </w:p>
    <w:p>
      <w:pPr>
        <w:pStyle w:val="ListParagraph"/>
        <w:numPr>
          <w:ilvl w:val="0"/>
          <w:numId w:val="2"/>
        </w:numPr>
        <w:spacing w:after="80"/>
      </w:pPr>
      <w:r>
        <w:t xml:space="preserve">Client has 50+ people and multiple office locations — the FSP scope doesn't fit.</w:t>
      </w:r>
    </w:p>
    <w:p>
      <w:pPr>
        <w:pStyle w:val="ListParagraph"/>
        <w:numPr>
          <w:ilvl w:val="0"/>
          <w:numId w:val="2"/>
        </w:numPr>
        <w:spacing w:after="80"/>
      </w:pPr>
      <w:r>
        <w:t xml:space="preserve">Decision-maker has a compliance background and needs CISO-level credentials to justify the selection internally — Andy should be honest rather than try to win this one.</w:t>
      </w:r>
    </w:p>
    <w:p>
      <w:pPr>
        <w:spacing w:after="120"/>
      </w:pPr>
      <w:r>
        <w:t xml:space="preserve">Knowing when not to compete is part of the value argument. Saying 'that's not what I do, and here's what I do' signals confidence and integrity — the opposite of the generalist MSSP who will promise anything to close the deal.</w:t>
      </w:r>
    </w:p>
    <w:p>
      <w:pPr>
        <w:spacing w:after="80"/>
      </w:pPr>
      <w:r>
        <w:t xml:space="preserve"/>
      </w:r>
    </w:p>
    <w:p>
      <w:r>
        <w:br w:type="page"/>
      </w:r>
    </w:p>
    <w:p>
      <w:pPr>
        <w:pStyle w:val="Heading1"/>
        <w:spacing w:after="160" w:before="360"/>
      </w:pPr>
      <w:r>
        <w:t xml:space="preserve">8. Open Decisions &amp; Outstanding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A030" w:sz="12"/>
              <w:bottom w:val="single" w:color="CCCCCC" w:sz="1"/>
              <w:right w:val="none" w:color="FFFFFF" w:sz="0"/>
            </w:tcBorders>
            <w:shd w:fill="FFF8EC" w:val="clear"/>
            <w:tcMar>
              <w:top w:type="dxa" w:w="100"/>
              <w:left w:type="dxa" w:w="200"/>
              <w:bottom w:type="dxa" w:w="100"/>
              <w:right w:type="dxa" w:w="200"/>
            </w:tcMar>
          </w:tcPr>
          <w:p>
            <w:pPr>
              <w:spacing w:after="0"/>
            </w:pPr>
            <w:r>
              <w:rPr>
                <w:b/>
                <w:bCs/>
                <w:color w:val="996600"/>
                <w:sz w:val="20"/>
                <w:szCs w:val="20"/>
              </w:rPr>
              <w:t xml:space="preserve">STATUS:  </w:t>
            </w:r>
            <w:r>
              <w:rPr>
                <w:color w:val="444444"/>
                <w:sz w:val="20"/>
                <w:szCs w:val="20"/>
              </w:rPr>
              <w:t xml:space="preserve">These are the specific items blocking finalization of the package for market. Prioritized by urgency.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Decision</w:t>
            </w:r>
          </w:p>
        </w:tc>
        <w:tc>
          <w:tcPr>
            <w:tcW w:type="dxa" w:w="24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Status</w:t>
            </w:r>
          </w:p>
        </w:tc>
        <w:tc>
          <w:tcPr>
            <w:tcW w:type="dxa" w:w="416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What Resolves It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Huntress channel/handoff model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BLOCKING for Tier 3 managed SOC framing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Direct call with Huntress partner team. Key questions: (1) Does the partner model allow clean handoff of the client relationship post-engagement? (2) Full scope of what Huntress SOC can access — 'along with other steps our SOC can take' is unverified. (3) Pricing at sub-50-device scale.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EDR default for Tier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Soft open — SentinelOne is current default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Resolves after Huntress call. If Huntress channel works, offer as premium Tier 2 option with managed SOC.</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Actual hour validation for Tier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No live data yet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First 2–3 solo Tier 3 deliveries. 100–125 hour estimate based on Hyla/Amphibian with a co-delivery partner (Austin Quam). Solo delivery may run higher.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Pricing sensitivity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Research-based, not market-validated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5–10 warm conversations. Listen for where friction appears. $35K may be right; may be conservative for Tier 3 institutional clients.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Sublime placement for Tier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Recommended: include in base scope</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Update pricing-and-tiers.md. Add note: Sublime included for Tier 3 clients with email-based transaction approvals. Update add-on description to specifically name BEC, not generic phishing.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Austin Quam as IR partner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Informally in the picture — not verified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Austin showed up for Hyla IR triage but didn't stay engaged. His CrowdStrike recommendation ('Falcon is still the best') is on record. Not a formal referral arrangement. Clarify before relying on him for IR escalation framing.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Pricing-and-tiers.md update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Pending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Add Sublime to Tier 3 scope. Sharpen add-on description to 'Email BEC protection (Sublime Security) — for funds handling wire transfers or counterparty approvals via email.'</w:t>
            </w:r>
          </w:p>
        </w:tc>
      </w:tr>
    </w:tbl>
    <w:p>
      <w:pPr>
        <w:spacing w:after="80"/>
      </w:pPr>
      <w:r>
        <w:t xml:space="preserve"/>
      </w:r>
    </w:p>
    <w:p>
      <w:r>
        <w:br w:type="page"/>
      </w:r>
    </w:p>
    <w:p>
      <w:pPr>
        <w:pStyle w:val="Heading1"/>
        <w:spacing w:after="160" w:before="360"/>
      </w:pPr>
      <w:r>
        <w:t xml:space="preserve">9. Unit Economics Summary</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1800"/>
        <w:gridCol w:w="3960"/>
      </w:tblGrid>
      <w:tr>
        <w:tc>
          <w:tcPr>
            <w:tcW w:type="dxa" w:w="22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Tier</w:t>
            </w:r>
          </w:p>
        </w:tc>
        <w:tc>
          <w:tcPr>
            <w:tcW w:type="dxa" w:w="16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Price</w:t>
            </w:r>
          </w:p>
        </w:tc>
        <w:tc>
          <w:tcPr>
            <w:tcW w:type="dxa" w:w="18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Est. Hours</w:t>
            </w:r>
          </w:p>
        </w:tc>
        <w:tc>
          <w:tcPr>
            <w:tcW w:type="dxa" w:w="18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Effective Rate</w:t>
            </w:r>
          </w:p>
        </w:tc>
        <w:tc>
          <w:tcPr>
            <w:tcW w:type="dxa" w:w="396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Margin Notes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Tier 1 — Foundation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$12,000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20–25 hrs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$480–600/hr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Highest rate. Fast and repeatable. Risk: scope creep if IDP situation is worse than expected.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Tier 2 — Essentials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$22,000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50–60 hrs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$370–440/hr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Lower per hour, higher deal. EDR deployment adds complexity.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Tier 3 — Program</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$35,000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100–125 hrs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$280–350/hr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Below Tiers 1–2 per hour but right price for referral channel and market. Validate on first 2–3 engagements.</w:t>
            </w:r>
          </w:p>
        </w:tc>
      </w:tr>
    </w:tbl>
    <w:p>
      <w:pPr>
        <w:spacing w:after="80"/>
      </w:pPr>
      <w:r>
        <w:t xml:space="preserve"/>
      </w:r>
    </w:p>
    <w:p>
      <w:pPr>
        <w:spacing w:after="120"/>
      </w:pPr>
      <w:r>
        <w:t xml:space="preserve">Original Hyla/Amphibian billing: Andy billed at $150/hr, ~$15,300 total. This is a floor, not an anchor. Productized price anchored to value delivered, not hourly rate. Tension: fixed price means some clients will be underpriced — acceptable for now given the need for reps and revenue.</w:t>
      </w:r>
    </w:p>
    <w:p>
      <w:pPr>
        <w:spacing w:after="80"/>
      </w:pPr>
      <w:r>
        <w:t xml:space="preserve"/>
      </w:r>
    </w:p>
    <w:p>
      <w:pPr>
        <w:pStyle w:val="Heading2"/>
        <w:spacing w:after="120" w:before="240"/>
      </w:pPr>
      <w:r>
        <w:t xml:space="preserve">Revenue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500"/>
        <w:gridCol w:w="3360"/>
      </w:tblGrid>
      <w:tr>
        <w:tc>
          <w:tcPr>
            <w:tcW w:type="dxa" w:w="35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Scenario</w:t>
            </w:r>
          </w:p>
        </w:tc>
        <w:tc>
          <w:tcPr>
            <w:tcW w:type="dxa" w:w="250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Engagements</w:t>
            </w:r>
          </w:p>
        </w:tc>
        <w:tc>
          <w:tcPr>
            <w:tcW w:type="dxa" w:w="3360"/>
            <w:tcBorders>
              <w:top w:val="single" w:color="CCCCCC" w:sz="1"/>
              <w:left w:val="single" w:color="CCCCCC" w:sz="1"/>
              <w:bottom w:val="single" w:color="CCCCCC" w:sz="1"/>
              <w:right w:val="single" w:color="CCCCCC" w:sz="1"/>
            </w:tcBorders>
            <w:shd w:fill="2B4A6F" w:val="clear"/>
            <w:tcMar>
              <w:top w:type="dxa" w:w="80"/>
              <w:left w:type="dxa" w:w="120"/>
              <w:bottom w:type="dxa" w:w="80"/>
              <w:right w:type="dxa" w:w="120"/>
            </w:tcMar>
          </w:tcPr>
          <w:p>
            <w:pPr>
              <w:spacing w:after="0"/>
            </w:pPr>
            <w:r>
              <w:rPr>
                <w:b/>
                <w:bCs/>
                <w:color w:val="FFFFFF"/>
                <w:sz w:val="20"/>
                <w:szCs w:val="20"/>
              </w:rPr>
              <w:t xml:space="preserve">Revenue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Conservative (3 Tier 3 engagements)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3x Tier 3</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$105,000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Target (2 Tier 3 + 2 Tier 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2x Tier 3 + 2x Tier 2</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$114,000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Upside (mix with retainers)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3x Tier 3 + 2x Tier 2 + 2 retainers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$178,000+/yr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Add-on revenue potential (Sublime/retainers)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Per engagement</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sz w:val="20"/>
                <w:szCs w:val="20"/>
              </w:rPr>
              <w:t xml:space="preserve">$2,500–$5,000 per add-on</w:t>
            </w:r>
          </w:p>
        </w:tc>
      </w:tr>
    </w:tbl>
    <w:p>
      <w:pPr>
        <w:spacing w:after="80"/>
      </w:pPr>
      <w:r>
        <w:t xml:space="preserve"/>
      </w:r>
    </w:p>
    <w:p>
      <w:r>
        <w:br w:type="page"/>
      </w:r>
    </w:p>
    <w:p>
      <w:pPr>
        <w:pStyle w:val="Heading1"/>
        <w:spacing w:after="160" w:before="360"/>
      </w:pPr>
      <w:r>
        <w:t xml:space="preserve">10. Next Steps</w:t>
      </w:r>
    </w:p>
    <w:p>
      <w:pPr>
        <w:pStyle w:val="ListParagraph"/>
        <w:numPr>
          <w:ilvl w:val="0"/>
          <w:numId w:val="3"/>
        </w:numPr>
        <w:spacing w:after="80"/>
      </w:pPr>
      <w:r>
        <w:t xml:space="preserve">Huntress partner call — resolve channel/handoff model and SOC access scope before relying on Huntress in Tier 3 framing.</w:t>
      </w:r>
    </w:p>
    <w:p>
      <w:pPr>
        <w:pStyle w:val="ListParagraph"/>
        <w:numPr>
          <w:ilvl w:val="0"/>
          <w:numId w:val="3"/>
        </w:numPr>
        <w:spacing w:after="80"/>
      </w:pPr>
      <w:r>
        <w:t xml:space="preserve">Update pricing-and-tiers.md — add Sublime to Tier 3 base scope, sharpen add-on description to specifically name BEC.</w:t>
      </w:r>
    </w:p>
    <w:p>
      <w:pPr>
        <w:pStyle w:val="ListParagraph"/>
        <w:numPr>
          <w:ilvl w:val="0"/>
          <w:numId w:val="3"/>
        </w:numPr>
        <w:spacing w:after="80"/>
      </w:pPr>
      <w:r>
        <w:t xml:space="preserve">First 5–10 warm conversations — test $12K/$22K/$35K structure against real buyer reactions. Do not over-optimize the product before market contact.</w:t>
      </w:r>
    </w:p>
    <w:p>
      <w:pPr>
        <w:pStyle w:val="ListParagraph"/>
        <w:numPr>
          <w:ilvl w:val="0"/>
          <w:numId w:val="3"/>
        </w:numPr>
        <w:spacing w:after="80"/>
      </w:pPr>
      <w:r>
        <w:t xml:space="preserve">Validate Tier 3 hours — track actual time on first 2–3 engagements. Solo delivery may run higher than 125 hours.</w:t>
      </w:r>
    </w:p>
    <w:p>
      <w:pPr>
        <w:pStyle w:val="ListParagraph"/>
        <w:numPr>
          <w:ilvl w:val="0"/>
          <w:numId w:val="3"/>
        </w:numPr>
        <w:spacing w:after="80"/>
      </w:pPr>
      <w:r>
        <w:t xml:space="preserve">Austin Quam relationship — clarify whether he is a formal IR referral partner before building that into client framing.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E8A030" w:sz="12"/>
              <w:bottom w:val="single" w:color="CCCCCC" w:sz="1"/>
              <w:right w:val="none" w:color="FFFFFF" w:sz="0"/>
            </w:tcBorders>
            <w:shd w:fill="FFF8EC" w:val="clear"/>
            <w:tcMar>
              <w:top w:type="dxa" w:w="100"/>
              <w:left w:type="dxa" w:w="200"/>
              <w:bottom w:type="dxa" w:w="100"/>
              <w:right w:type="dxa" w:w="200"/>
            </w:tcMar>
          </w:tcPr>
          <w:p>
            <w:pPr>
              <w:spacing w:after="0"/>
            </w:pPr>
            <w:r>
              <w:rPr>
                <w:b/>
                <w:bCs/>
                <w:color w:val="996600"/>
                <w:sz w:val="20"/>
                <w:szCs w:val="20"/>
              </w:rPr>
              <w:t xml:space="preserve">PRIORITY:  </w:t>
            </w:r>
            <w:r>
              <w:rPr>
                <w:color w:val="444444"/>
                <w:sz w:val="20"/>
                <w:szCs w:val="20"/>
              </w:rPr>
              <w:t xml:space="preserve">Outreach and pipeline generate more value right now than product perfection. Andrew Hoppin's warm intros to Amphibian Unite are ready to deploy. Two Prime (Ozyp/Blume), Monarq (Purdy), and M1 Capital (Van Goudoever) are the top three prospects. Start those conversations before finalizing every open question.</w:t>
            </w:r>
          </w:p>
        </w:tc>
      </w:tr>
    </w:tbl>
    <w:p>
      <w:pPr>
        <w:spacing w:after="80"/>
      </w:pPr>
      <w:r>
        <w:t xml:space="preserve"/>
      </w:r>
    </w:p>
    <w:p>
      <w:pPr>
        <w:pBdr>
          <w:bottom w:val="single" w:color="2B4A6F" w:sz="4" w:space="1"/>
        </w:pBdr>
        <w:spacing w:after="200"/>
      </w:pPr>
      <w:r>
        <w:t xml:space="preserve"/>
      </w:r>
    </w:p>
    <w:p>
      <w:pPr>
        <w:spacing w:after="0" w:before="80"/>
        <w:jc w:val="center"/>
      </w:pPr>
      <w:r>
        <w:rPr>
          <w:color w:val="888888"/>
          <w:sz w:val="18"/>
          <w:szCs w:val="18"/>
        </w:rPr>
        <w:t xml:space="preserve">Archetype Consulting | archetypeconsulting.io | andy@archetypeconsulting.io | March 2026</w:t>
      </w:r>
    </w:p>
    <w:sectPr>
      <w:headerReference w:type="default" r:id="rId7"/>
      <w:footerReference w:type="default" r:id="rId8"/>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3" w:space="1"/>
      </w:pBdr>
      <w:tabs>
        <w:tab w:val="right" w:pos="9360"/>
      </w:tabs>
      <w:spacing w:before="0"/>
    </w:pPr>
    <w:r>
      <w:rPr>
        <w:color w:val="888888"/>
        <w:sz w:val="16"/>
        <w:szCs w:val="16"/>
      </w:rPr>
      <w:t xml:space="preserve">Internal — Do Not Distribute</w:t>
    </w:r>
    <w:r>
      <w:rPr>
        <w:color w:val="888888"/>
        <w:sz w:val="16"/>
        <w:szCs w:val="16"/>
      </w:rPr>
      <w:t xml:space="preserve">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space="1"/>
      </w:pBdr>
      <w:tabs>
        <w:tab w:val="right" w:pos="9360"/>
      </w:tabs>
      <w:spacing w:after="0"/>
    </w:pPr>
    <w:r>
      <w:rPr>
        <w:b/>
        <w:bCs/>
        <w:color w:val="2B4A6F"/>
        <w:sz w:val="16"/>
        <w:szCs w:val="16"/>
      </w:rPr>
      <w:t xml:space="preserve">ARCHETYPE CONSULTING</w:t>
    </w:r>
    <w:r>
      <w:rPr>
        <w:color w:val="888888"/>
        <w:sz w:val="16"/>
        <w:szCs w:val="16"/>
      </w:rPr>
      <w:t xml:space="preserve">   |   Crypto Fund Security Hardening — Executive Brief</w:t>
    </w:r>
    <w:r>
      <w:rPr>
        <w:color w:val="888888"/>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rPr>
        <w:sz w:val="22"/>
        <w:szCs w:val="22"/>
      </w:rPr>
    </w:lvl>
  </w:abstractNum>
  <w:abstractNum w:abstractNumId="3" w15:restartNumberingAfterBreak="0">
    <w:multiLevelType w:val="hybridMultilevel"/>
    <w:lvl w:ilvl="0" w15:tentative="1">
      <w:start w:val="1"/>
      <w:numFmt w:val="decimal"/>
      <w:lvlText w:val="%1."/>
      <w:lvlJc w:val="left"/>
      <w:pPr>
        <w:ind w:left="640" w:hanging="320"/>
      </w:pPr>
      <w:rPr>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B4A6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B4A6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2026-03-04T16:50:53.450Z</dcterms:created>
  <dcterms:modified xsi:type="dcterms:W3CDTF">2026-03-04T16:50:53.450Z</dcterms:modified>
</cp:coreProperties>
</file>

<file path=docProps/custom.xml><?xml version="1.0" encoding="utf-8"?>
<Properties xmlns="http://schemas.openxmlformats.org/officeDocument/2006/custom-properties" xmlns:vt="http://schemas.openxmlformats.org/officeDocument/2006/docPropsVTypes"/>
</file>