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3060" w14:textId="06CF16D5" w:rsidR="00761E62" w:rsidRDefault="00872145" w:rsidP="00872145">
      <w:pPr>
        <w:jc w:val="center"/>
      </w:pPr>
      <w:r w:rsidRPr="00872145">
        <w:t>The goal is to expose the player to </w:t>
      </w:r>
      <w:r w:rsidRPr="00872145">
        <w:rPr>
          <w:b/>
          <w:bCs/>
        </w:rPr>
        <w:t>ASCII-to-Decimal encoding</w:t>
      </w:r>
      <w:r w:rsidRPr="00872145">
        <w:t>, which is a form of number-based representation, often with spaces or commas as separators.</w:t>
      </w:r>
    </w:p>
    <w:p w14:paraId="244B9FE8" w14:textId="77777777" w:rsidR="00872145" w:rsidRDefault="00872145" w:rsidP="00872145">
      <w:pPr>
        <w:jc w:val="center"/>
      </w:pPr>
    </w:p>
    <w:p w14:paraId="012A58B9" w14:textId="36293E02" w:rsidR="00872145" w:rsidRDefault="00872145" w:rsidP="00872145">
      <w:pPr>
        <w:jc w:val="center"/>
      </w:pPr>
      <w:r w:rsidRPr="00872145">
        <w:t>The player sees a long string of numbers separated by spaces. They recognize that this is a numerical representation of text, specifically the decimal values of ASCII characters. They use an online </w:t>
      </w:r>
      <w:r w:rsidRPr="00872145">
        <w:rPr>
          <w:b/>
          <w:bCs/>
        </w:rPr>
        <w:t>Decimal to Text</w:t>
      </w:r>
      <w:r w:rsidRPr="00872145">
        <w:t> converter to decode it.</w:t>
      </w:r>
    </w:p>
    <w:sectPr w:rsidR="00872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45"/>
    <w:rsid w:val="00005F10"/>
    <w:rsid w:val="002B36B0"/>
    <w:rsid w:val="006A633B"/>
    <w:rsid w:val="0074625D"/>
    <w:rsid w:val="00761E62"/>
    <w:rsid w:val="00872145"/>
    <w:rsid w:val="00A81503"/>
    <w:rsid w:val="00B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D16B"/>
  <w15:chartTrackingRefBased/>
  <w15:docId w15:val="{AEEF9B2E-5C90-4F4B-8CE6-9DFC8716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2025-10-26T09:14:00Z</dcterms:created>
  <dcterms:modified xsi:type="dcterms:W3CDTF">2025-10-26T09:17:00Z</dcterms:modified>
</cp:coreProperties>
</file>