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Claim Journey — Cashless Case, Start to End</w:t>
      </w:r>
    </w:p>
    <w:p>
      <w:r>
        <w:t xml:space="preserve">A simple walkthrough of what happens to one cashless claim in NHCX, from the patient being admitted to the payment landing in the hospital's account.</w:t>
      </w:r>
    </w:p>
    <w:p>
      <w:r>
        <w:rPr>
          <w:b/>
          <w:bCs/>
        </w:rPr>
        <w:t xml:space="preserve">Live app: </w:t>
      </w:r>
      <w:hyperlink w:history="1" r:id="rIdibmqckbxos3tmwxixajb7">
        <w:r>
          <w:rPr>
            <w:rStyle w:val="Hyperlink"/>
          </w:rPr>
          <w:t xml:space="preserve">https://api-stage4.docterz.in/nhcx/service/</w:t>
        </w:r>
      </w:hyperlink>
      <w:r>
        <w:t xml:space="preserve"> — walk through any stage below yourself on the staging build.</w:t>
      </w:r>
    </w:p>
    <w:p>
      <w:r>
        <w:t xml:space="preserve">Every claim moves through the same 6 stages, shown as the vertical rail on the left of the case screen. Two extra stages can branch off after a decision comes back, if needed.</w:t>
      </w:r>
    </w:p>
    <w:p>
      <w:pPr>
        <w:shd w:fill="F2F2F2" w:val="clear"/>
        <w:spacing w:after="40"/>
      </w:pPr>
      <w:r>
        <w:rPr>
          <w:rFonts w:ascii="Consolas" w:cs="Consolas" w:eastAsia="Consolas" w:hAnsi="Consolas"/>
          <w:sz w:val="20"/>
          <w:szCs w:val="20"/>
        </w:rPr>
        <w:t xml:space="preserve">1. Payer &amp; Policy</w:t>
      </w:r>
      <w:r>
        <w:rPr>
          <w:rFonts w:ascii="Consolas" w:cs="Consolas" w:eastAsia="Consolas" w:hAnsi="Consolas"/>
          <w:sz w:val="20"/>
          <w:szCs w:val="20"/>
        </w:rPr>
        <w:br/>
        <w:t xml:space="preserve">2. Eligibility</w:t>
      </w:r>
      <w:r>
        <w:rPr>
          <w:rFonts w:ascii="Consolas" w:cs="Consolas" w:eastAsia="Consolas" w:hAnsi="Consolas"/>
          <w:sz w:val="20"/>
          <w:szCs w:val="20"/>
        </w:rPr>
        <w:br/>
        <w:t xml:space="preserve">3. Preauth</w:t>
      </w:r>
      <w:r>
        <w:rPr>
          <w:rFonts w:ascii="Consolas" w:cs="Consolas" w:eastAsia="Consolas" w:hAnsi="Consolas"/>
          <w:sz w:val="20"/>
          <w:szCs w:val="20"/>
        </w:rPr>
        <w:br/>
        <w:t xml:space="preserve">4. Decision ──┬── 4a. Enhancement (optional, if approved)</w:t>
      </w:r>
      <w:r>
        <w:rPr>
          <w:rFonts w:ascii="Consolas" w:cs="Consolas" w:eastAsia="Consolas" w:hAnsi="Consolas"/>
          <w:sz w:val="20"/>
          <w:szCs w:val="20"/>
        </w:rPr>
        <w:br/>
        <w:t xml:space="preserve">              └── 4b. Reprocess   (optional, if rejected)</w:t>
      </w:r>
      <w:r>
        <w:rPr>
          <w:rFonts w:ascii="Consolas" w:cs="Consolas" w:eastAsia="Consolas" w:hAnsi="Consolas"/>
          <w:sz w:val="20"/>
          <w:szCs w:val="20"/>
        </w:rPr>
        <w:br/>
        <w:t xml:space="preserve">5. Claim</w:t>
      </w:r>
      <w:r>
        <w:rPr>
          <w:rFonts w:ascii="Consolas" w:cs="Consolas" w:eastAsia="Consolas" w:hAnsi="Consolas"/>
          <w:sz w:val="20"/>
          <w:szCs w:val="20"/>
        </w:rPr>
        <w:br/>
        <w:t xml:space="preserve">6. Payment</w:t>
      </w:r>
    </w:p>
    <w:p>
      <w:pPr>
        <w:pBdr>
          <w:bottom w:val="single" w:color="AAAAAA" w:sz="6" w:space="1"/>
        </w:pBdr>
        <w:spacing w:after="80" w:before="80"/>
      </w:pPr>
    </w:p>
    <w:p>
      <w:pPr>
        <w:pStyle w:val="Heading1"/>
      </w:pPr>
      <w:r>
        <w:t xml:space="preserve">1. Payer &amp; Policy</w:t>
      </w:r>
    </w:p>
    <w:p>
      <w:r>
        <w:t xml:space="preserve">Hospital staff pick the patient's insurer and their active policy for this admission. This anchors the case — everything downstream (eligibility checks, preauth, claim) is filed against this payer + policy.</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Payer &amp; Policy — searching payers and selecting the active policy.</w:t>
      </w:r>
    </w:p>
    <w:p>
      <w:pPr>
        <w:pStyle w:val="Heading1"/>
      </w:pPr>
      <w:r>
        <w:t xml:space="preserve">2. Eligibility</w:t>
      </w:r>
    </w:p>
    <w:p>
      <w:r>
        <w:t xml:space="preserve">The system checks with the payer whether this admission is actually covered: is the policy active, does it cover this kind of care, and what's the benefit limit. The full coverage detail comes back with it — member ID, plan name, sum insured, benefit period, which line items are excluded, and which ones need extra documents before a preauth will be accepted. Any missing patient details (needed by the payer) get flagged and resolved here too. If the payer doesn't respond in time, staff can re-run the check.</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Eligibility — coverage detail, exclusions, and per-service benefit limits.</w:t>
      </w:r>
    </w:p>
    <w:p>
      <w:pPr>
        <w:pStyle w:val="Heading1"/>
      </w:pPr>
      <w:r>
        <w:t xml:space="preserve">3. Preauth</w:t>
      </w:r>
    </w:p>
    <w:p>
      <w:r>
        <w:t xml:space="preserve">Staff review the draft pre-authorization request — the treatment, the estimated cost — and submit it to the payer for approval before treatment proceeds. Required documents can be uploaded directly (not just linked by URL), and staff can attach anything extra the payer asked for that isn't on the standard checklist.</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Preauth — required documents attached, plus a free-form extra document.</w:t>
      </w:r>
    </w:p>
    <w:p>
      <w:pPr>
        <w:pStyle w:val="Heading1"/>
      </w:pPr>
      <w:r>
        <w:t xml:space="preserve">4. Decision</w:t>
      </w:r>
    </w:p>
    <w:p>
      <w:r>
        <w:t xml:space="preserve">The case now waits on the payer. Three things can happen:</w:t>
      </w:r>
    </w:p>
    <w:p>
      <w:pPr>
        <w:pStyle w:val="ListParagraph"/>
        <w:numPr>
          <w:ilvl w:val="0"/>
          <w:numId w:val="1"/>
        </w:numPr>
      </w:pPr>
      <w:r>
        <w:rPr>
          <w:b/>
          <w:bCs/>
        </w:rPr>
        <w:t xml:space="preserve">Approved / Partially approved</w:t>
      </w:r>
      <w:r>
        <w:t xml:space="preserve"> — treatment can go ahead (for the approved amount).</w:t>
      </w:r>
    </w:p>
    <w:p>
      <w:pPr>
        <w:pStyle w:val="ListParagraph"/>
        <w:numPr>
          <w:ilvl w:val="0"/>
          <w:numId w:val="1"/>
        </w:numPr>
      </w:pPr>
      <w:r>
        <w:rPr>
          <w:b/>
          <w:bCs/>
        </w:rPr>
        <w:t xml:space="preserve">Queried</w:t>
      </w:r>
      <w:r>
        <w:t xml:space="preserve"> — the payer wants more information before deciding; staff respond to the query — with a file attached, not just a note — and the case waits again.</w:t>
      </w:r>
    </w:p>
    <w:p>
      <w:pPr>
        <w:pStyle w:val="ListParagraph"/>
        <w:numPr>
          <w:ilvl w:val="0"/>
          <w:numId w:val="1"/>
        </w:numPr>
      </w:pPr>
      <w:r>
        <w:rPr>
          <w:b/>
          <w:bCs/>
        </w:rPr>
        <w:t xml:space="preserve">Rejected</w:t>
      </w:r>
      <w:r>
        <w:t xml:space="preserve"> — the request was turned down.</w:t>
      </w:r>
    </w:p>
    <w:p>
      <w:r>
        <w:t xml:space="preserve">This is a waiting stage — while the payer is deciding, the task shows up in the hospital's </w:t>
      </w:r>
      <w:r>
        <w:rPr>
          <w:b/>
          <w:bCs/>
        </w:rPr>
        <w:t xml:space="preserve">Work Queue</w:t>
      </w:r>
      <w:r>
        <w:t xml:space="preserve"> so staff know it needs a response when something changes, rather than someone having to keep checking.</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Decision — an approved preauth with the adjudication summary.</w:t>
      </w:r>
    </w:p>
    <w:p>
      <w:pPr>
        <w:pStyle w:val="Heading2"/>
      </w:pPr>
      <w:r>
        <w:t xml:space="preserve">4a. Enhancement </w:t>
      </w:r>
      <w:r>
        <w:rPr>
          <w:i/>
          <w:iCs/>
        </w:rPr>
        <w:t xml:space="preserve">(only if approved)</w:t>
      </w:r>
    </w:p>
    <w:p>
      <w:r>
        <w:t xml:space="preserve">If the treatment turns out to need more than what was approved — an added procedure, extra documents — staff can request an increase to the approved amount without starting a new case.</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Enhancement — requesting an increase to an already-approved preauth.</w:t>
      </w:r>
    </w:p>
    <w:p>
      <w:pPr>
        <w:pStyle w:val="Heading2"/>
      </w:pPr>
      <w:r>
        <w:t xml:space="preserve">4b. Reprocess </w:t>
      </w:r>
      <w:r>
        <w:rPr>
          <w:i/>
          <w:iCs/>
        </w:rPr>
        <w:t xml:space="preserve">(only if rejected)</w:t>
      </w:r>
    </w:p>
    <w:p>
      <w:r>
        <w:t xml:space="preserve">If the payer rejected the request, staff can appeal or resubmit with corrections, rather than the case being a dead end.</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Reprocess — filing an appeal with supporting evidence after a rejection.</w:t>
      </w:r>
    </w:p>
    <w:p>
      <w:pPr>
        <w:pStyle w:val="Heading1"/>
      </w:pPr>
      <w:r>
        <w:t xml:space="preserve">5. Claim</w:t>
      </w:r>
    </w:p>
    <w:p>
      <w:r>
        <w:t xml:space="preserve">Once care is complete, staff submit the discharge summary and the final itemized bill as the claim for the approved treatment — same document checklist as Preauth, so any extra proof the payer wants can be attached here too.</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Claim — the draft, discharge, final bill, and decision steps.</w:t>
      </w:r>
    </w:p>
    <w:p>
      <w:pPr>
        <w:pStyle w:val="Heading1"/>
      </w:pPr>
      <w:r>
        <w:t xml:space="preserve">6. Payment</w:t>
      </w:r>
    </w:p>
    <w:p>
      <w:r>
        <w:t xml:space="preserve">The payer settles the claim. Staff reconcile the payment received (amount, UTR reference) against what was billed, and the case is closed. Every payment line shows which patient it belongs to, and opening it shows the full settlement detail — claim and payer references, notice amount, reconciliation and acknowledgement status — in one place.</w:t>
      </w:r>
    </w:p>
    <w:p>
      <w:pPr>
        <w:spacing w:after="60" w:before="160"/>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609850"/>
                    </a:xfrm>
                    <a:prstGeom prst="rect">
                      <a:avLst/>
                    </a:prstGeom>
                  </pic:spPr>
                </pic:pic>
              </a:graphicData>
            </a:graphic>
          </wp:inline>
        </w:drawing>
      </w:r>
    </w:p>
    <w:p>
      <w:pPr>
        <w:spacing w:after="200"/>
      </w:pPr>
      <w:r>
        <w:rPr>
          <w:i/>
          <w:iCs/>
          <w:color w:val="666666"/>
          <w:sz w:val="18"/>
          <w:szCs w:val="18"/>
        </w:rPr>
        <w:t xml:space="preserve">Payment — settlement detail for a patient's payment event.</w:t>
      </w:r>
    </w:p>
    <w:p>
      <w:pPr>
        <w:pBdr>
          <w:bottom w:val="single" w:color="AAAAAA" w:sz="6" w:space="1"/>
        </w:pBdr>
        <w:spacing w:after="80" w:before="80"/>
      </w:pPr>
    </w:p>
    <w:p>
      <w:pPr>
        <w:pStyle w:val="Heading1"/>
      </w:pPr>
      <w:r>
        <w:t xml:space="preserve">A few things worth knowing</w:t>
      </w:r>
    </w:p>
    <w:p>
      <w:pPr>
        <w:pStyle w:val="ListParagraph"/>
        <w:numPr>
          <w:ilvl w:val="0"/>
          <w:numId w:val="1"/>
        </w:numPr>
      </w:pPr>
      <w:r>
        <w:rPr>
          <w:b/>
          <w:bCs/>
        </w:rPr>
        <w:t xml:space="preserve">Nothing is lost if you close the tab.</w:t>
      </w:r>
      <w:r>
        <w:t xml:space="preserve"> Every stage is saved on the server against the case, not just in the browser — coming back later (even a different day) picks up exactly where it left off.</w:t>
      </w:r>
    </w:p>
    <w:p>
      <w:pPr>
        <w:pStyle w:val="ListParagraph"/>
        <w:numPr>
          <w:ilvl w:val="0"/>
          <w:numId w:val="1"/>
        </w:numPr>
      </w:pPr>
      <w:r>
        <w:rPr>
          <w:b/>
          <w:bCs/>
        </w:rPr>
        <w:t xml:space="preserve">Waiting on the payer shows up as a task, not a blank screen.</w:t>
      </w:r>
      <w:r>
        <w:t xml:space="preserve"> Anything that needs a person to act next (respond to a query, submit the final claim, acknowledge a payment) becomes a Work Queue item.</w:t>
      </w:r>
    </w:p>
    <w:p>
      <w:pPr>
        <w:pStyle w:val="ListParagraph"/>
        <w:numPr>
          <w:ilvl w:val="0"/>
          <w:numId w:val="1"/>
        </w:numPr>
      </w:pPr>
      <w:r>
        <w:rPr>
          <w:b/>
          <w:bCs/>
        </w:rPr>
        <w:t xml:space="preserve">A case can also be viewed read-only across all facilities</w:t>
      </w:r>
      <w:r>
        <w:t xml:space="preserve"> by an admin — but only one facility can act on and submit a given case.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mqckbxos3tmwxixajb7" Type="http://schemas.openxmlformats.org/officeDocument/2006/relationships/hyperlink" Target="https://api-stage4.docterz.in/nhcx/service/" TargetMode="External"/><Relationship Id="rId7" Type="http://schemas.openxmlformats.org/officeDocument/2006/relationships/image" Target="media/3f72df15727a46382fc6aac00d3ac9fcda6c761d.undefined"/><Relationship Id="rId8" Type="http://schemas.openxmlformats.org/officeDocument/2006/relationships/image" Target="media/d09d62ed7dd76eabb2c047968b973bfe17c5d82a.undefined"/><Relationship Id="rId9" Type="http://schemas.openxmlformats.org/officeDocument/2006/relationships/image" Target="media/042d86e6d63dd567aba91ae51faa73eff6f73978.undefined"/><Relationship Id="rId10" Type="http://schemas.openxmlformats.org/officeDocument/2006/relationships/image" Target="media/0b2d0e78af1b69d3ecfb085ba8a6eea724125892.undefined"/><Relationship Id="rId11" Type="http://schemas.openxmlformats.org/officeDocument/2006/relationships/image" Target="media/69c4d4d3124dbc18aba53ae59080b0dd30bd9634.undefined"/><Relationship Id="rId12" Type="http://schemas.openxmlformats.org/officeDocument/2006/relationships/image" Target="media/da3cb6ccb2a9861f607de0fc1ce8ead46ece4880.undefined"/><Relationship Id="rId13" Type="http://schemas.openxmlformats.org/officeDocument/2006/relationships/image" Target="media/21606a87e1975892322f00168471e3129b029d84.undefined"/><Relationship Id="rId14" Type="http://schemas.openxmlformats.org/officeDocument/2006/relationships/image" Target="media/d890729869d21e235329a723d1187a0804da1131.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2026-07-30T14:12:32.613Z</dcterms:created>
  <dcterms:modified xsi:type="dcterms:W3CDTF">2026-07-30T14:12:32.614Z</dcterms:modified>
</cp:coreProperties>
</file>

<file path=docProps/custom.xml><?xml version="1.0" encoding="utf-8"?>
<Properties xmlns="http://schemas.openxmlformats.org/officeDocument/2006/custom-properties" xmlns:vt="http://schemas.openxmlformats.org/officeDocument/2006/docPropsVTypes"/>
</file>