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openxmlformats-package.core-properties+xml" PartName="/docProps/core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p-value is less than 0.05. Therefore, there is a significant difference between the two groups successful and failed.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Overall, it can be seen that success campaigns were higher among all the campaigns than in the other outcomes throughout the whole-time frame.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There is a 57% success rate among all campaigns.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(565/1000) *100%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considering the parent category, most campaigns go under “theatre”. Among that, nearly 54%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campaigns are successful.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data is for different countries. So, the currency is different.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Assume that all campaigns go under the same condition such as infrastructure facilities.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can create a table to check the overall outcome in each category. Then we can add filets like country, category, outcome…..etc. (</w:t>
      </w:r>
      <w:r w:rsidDel="00000000" w:rsidR="00000000" w:rsidRPr="00000000">
        <w:rPr>
          <w:color w:val="0070c0"/>
          <w:rtl w:val="0"/>
        </w:rPr>
        <w:t xml:space="preserve">ref: sheet “Additional”)</w:t>
      </w:r>
      <w:r w:rsidDel="00000000" w:rsidR="00000000" w:rsidRPr="00000000">
        <w:rPr>
          <w:rtl w:val="0"/>
        </w:rPr>
      </w:r>
    </w:p>
    <w:tbl>
      <w:tblPr>
        <w:tblStyle w:val="Table1"/>
        <w:tblW w:w="3460.0" w:type="dxa"/>
        <w:jc w:val="left"/>
        <w:tblLayout w:type="fixed"/>
        <w:tblLook w:val="0400"/>
      </w:tblPr>
      <w:tblGrid>
        <w:gridCol w:w="1480"/>
        <w:gridCol w:w="1980"/>
        <w:tblGridChange w:id="0">
          <w:tblGrid>
            <w:gridCol w:w="1480"/>
            <w:gridCol w:w="1980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Row Labels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ea9db" w:space="0" w:sz="4" w:val="single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Count of outcome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successful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57%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failed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36%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cancelled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6%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live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right"/>
              <w:rPr>
                <w:rFonts w:ascii="Calibri" w:cs="Calibri" w:eastAsia="Calibri" w:hAnsi="Calibr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4"/>
                <w:szCs w:val="24"/>
                <w:rtl w:val="0"/>
              </w:rPr>
              <w:t xml:space="preserve">1%</w:t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8ea9db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Grand Total</w:t>
            </w:r>
          </w:p>
        </w:tc>
        <w:tc>
          <w:tcPr>
            <w:tcBorders>
              <w:top w:color="8ea9db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e1f2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right"/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rtl w:val="0"/>
              </w:rPr>
              <w:t xml:space="preserve">100.00%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152900" cy="2124075"/>
            <wp:docPr id="388686885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Can create a table for,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campaigns gain access to the spotlight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360"/>
        <w:rPr/>
      </w:pPr>
      <w:r w:rsidDel="00000000" w:rsidR="00000000" w:rsidRPr="00000000">
        <w:rPr>
          <w:color w:val="0070c0"/>
          <w:rtl w:val="0"/>
        </w:rPr>
        <w:t xml:space="preserve">Reference for this: see Excel--</w:t>
      </w:r>
      <w:r w:rsidDel="00000000" w:rsidR="00000000" w:rsidRPr="00000000">
        <w:rPr>
          <w:color w:val="0070c0"/>
          <w:rtl w:val="0"/>
        </w:rPr>
        <w:t xml:space="preserve">🡪sheet “Additional.”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Percentage of each category by the outcome (% of grand total) [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70c0"/>
          <w:sz w:val="22"/>
          <w:szCs w:val="22"/>
          <w:u w:val="none"/>
          <w:shd w:fill="auto" w:val="clear"/>
          <w:vertAlign w:val="baseline"/>
          <w:rtl w:val="0"/>
        </w:rPr>
        <w:t xml:space="preserve">ref: sheet “Percentage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F124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Jay.Somiuru\OneDrive%20-%20SC%20Services%20Pty%20Ltd\Desktop\Copy%20of%20CrowdfundingBook%20assignmen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[Copy of CrowdfundingBook assignment.xlsx]additional!PivotTable1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Overall</a:t>
            </a:r>
            <a:r>
              <a:rPr lang="en-US" b="1" baseline="0"/>
              <a:t> Percentage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additional!$B$3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additional!$A$4:$A$8</c:f>
              <c:strCache>
                <c:ptCount val="4"/>
                <c:pt idx="0">
                  <c:v>successful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additional!$B$4:$B$8</c:f>
              <c:numCache>
                <c:formatCode>0%</c:formatCode>
                <c:ptCount val="4"/>
                <c:pt idx="0">
                  <c:v>0.56499999999999995</c:v>
                </c:pt>
                <c:pt idx="1">
                  <c:v>0.36399999999999999</c:v>
                </c:pt>
                <c:pt idx="2">
                  <c:v>5.7000000000000002E-2</c:v>
                </c:pt>
                <c:pt idx="3">
                  <c:v>1.4E-2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E5-4992-B536-1DC0B2D05A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01959736"/>
        <c:axId val="701957216"/>
      </c:barChart>
      <c:catAx>
        <c:axId val="7019597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957216"/>
        <c:crosses val="autoZero"/>
        <c:auto val="1"/>
        <c:lblAlgn val="ctr"/>
        <c:lblOffset val="100"/>
        <c:noMultiLvlLbl val="0"/>
      </c:catAx>
      <c:valAx>
        <c:axId val="701957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1959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5eL9o5U+ORCW2SDDBdUPx6At3A==">CgMxLjA4AHIhMXZ2U1djaHBiaFdBTksyalhYQTVicE1VUWRRN2hkaWhk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2023-07-23T14:59:00Z</dcterms:created>
  <dc:creator>Jay Somiuru</dc:creator>
</cp:coreProperties>
</file>