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ミライシーン 企画書</w:t>
      </w:r>
    </w:p>
    <w:p>
      <w:pPr>
        <w:pStyle w:val="Subtitle"/>
      </w:pPr>
      <w:r>
        <w:t>ミライシーン  |  2026年10月7日</w:t>
      </w:r>
    </w:p>
    <w:p>
      <w:r>
        <w:t>進路ナビの「“好き”から始まる進路選び」を、仕事のひと場面を選んで考える体験として具体化する企画です。興味の発見から教材・学校検索までのつながりを整理し、進路ナビ内への導入と今後のコンテンツ拡充に向けて共有します。</w:t>
      </w:r>
    </w:p>
    <w:p>
      <w:pPr>
        <w:pStyle w:val="Heading1"/>
      </w:pPr>
      <w:r>
        <w:t>1 コンテンツ名</w:t>
      </w:r>
    </w:p>
    <w:p>
      <w:r>
        <w:t>ミライシーン。高校生が仕事のひと場面を疑似体験し、自分の興味と、その先にある学びを見つけるWebコンテンツです。</w:t>
      </w:r>
    </w:p>
    <w:p>
      <w:pPr>
        <w:pStyle w:val="Heading1"/>
      </w:pPr>
      <w:r>
        <w:t>2 企画の目的</w:t>
      </w:r>
    </w:p>
    <w:p>
      <w:r>
        <w:t>将来の目標が決まっていなくても、具体的な仕事の場面を入口に「少し気になる」を見つけられるようにします。選択と解説、振り返りを通じて仕事への理解を深め、関連する学習教材や分野を指定した学校検索へ自然に進める状態を目指します。</w:t>
      </w:r>
    </w:p>
    <w:p>
      <w:r>
        <w:t>進路をその場で決定させることや、回答から向いている職業を判定することは目的にしません。資料請求も、決断の前に情報を集める一歩として位置づけます。</w:t>
      </w:r>
    </w:p>
    <w:p>
      <w:pPr>
        <w:pStyle w:val="Heading1"/>
      </w:pPr>
      <w:r>
        <w:t>3 想定する高校生</w:t>
      </w:r>
    </w:p>
    <w:p>
      <w:r>
        <w:t>主な対象は、やりたい仕事や学びたい分野をまだ言葉にできない高校生です。学校のガイダンスや授業をきっかけに訪れる生徒と、日常的な検索などから進路ナビを訪れる生徒の両方を対象にします。学年やガイダンスへの参加経験で利用を限定しません。</w:t>
      </w:r>
    </w:p>
    <w:p>
      <w:pPr>
        <w:pStyle w:val="Heading1"/>
      </w:pPr>
      <w:r>
        <w:t>4 高校生が抱えている悩みや不便</w:t>
      </w:r>
    </w:p>
    <w:p>
      <w:r>
        <w:t>企画上、次の課題を想定します。職業名は知っていても、実際に何を考えて働くのかが分からない。好きなことと学部・学科のつながりが見えない。何が分からないのかも整理できず、学校検索の条件を選べない。情報を読んだ後に、何を調べればよいか迷ってしまう。</w:t>
      </w:r>
    </w:p>
    <w:p>
      <w:r>
        <w:t>最初から詳しい希望条件や自由記述を求めず、短い場面と選択肢から考え始められる設計で、この負担を小さくします。</w:t>
      </w:r>
    </w:p>
    <w:p>
      <w:pPr>
        <w:pStyle w:val="Heading1"/>
        <w:pageBreakBefore/>
      </w:pPr>
      <w:r>
        <w:t>5 コンテンツ内容</w:t>
      </w:r>
    </w:p>
    <w:p>
      <w:pPr>
        <w:pStyle w:val="Heading2"/>
      </w:pPr>
      <w:r>
        <w:t>体験を選び 考え 振り返る</w:t>
      </w:r>
    </w:p>
    <w:p>
      <w:r>
        <w:t>1体験は約3分を目安とする3シーンで構成し、各シーンには3つの選択肢を用意します。利用登録は不要です。各案を選ぶと、状況を整理する共通解説と、その案の説明・良い点・懸念点を確認できます。次のシーンは回答にかかわらず共通で、正解数や適性の点数は表示しません。</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04"/>
        <w:gridCol w:w="3969"/>
        <w:gridCol w:w="4365"/>
      </w:tblGrid>
      <w:tr>
        <w:trPr>
          <w:cantSplit/>
          <w:tblHeader/>
        </w:trPr>
        <w:tc>
          <w:tcPr>
            <w:tcW w:type="dxa" w:w="1304"/>
            <w:vAlign w:val="center"/>
            <w:tcMar>
              <w:top w:w="80" w:type="dxa"/>
              <w:left w:w="80" w:type="dxa"/>
              <w:bottom w:w="80" w:type="dxa"/>
              <w:right w:w="80" w:type="dxa"/>
            </w:tcMar>
            <w:shd w:fill="E8ECF3"/>
          </w:tcPr>
          <w:p>
            <w:pPr>
              <w:spacing w:after="20" w:line="264" w:lineRule="auto"/>
            </w:pPr>
            <w:r>
              <w:rPr>
                <w:b/>
                <w:sz w:val="18"/>
              </w:rPr>
              <w:t>段階</w:t>
            </w:r>
          </w:p>
        </w:tc>
        <w:tc>
          <w:tcPr>
            <w:tcW w:type="dxa" w:w="3969"/>
            <w:vAlign w:val="center"/>
            <w:tcMar>
              <w:top w:w="80" w:type="dxa"/>
              <w:left w:w="80" w:type="dxa"/>
              <w:bottom w:w="80" w:type="dxa"/>
              <w:right w:w="80" w:type="dxa"/>
            </w:tcMar>
            <w:shd w:fill="E8ECF3"/>
          </w:tcPr>
          <w:p>
            <w:pPr>
              <w:spacing w:after="20" w:line="264" w:lineRule="auto"/>
            </w:pPr>
            <w:r>
              <w:rPr>
                <w:b/>
                <w:sz w:val="18"/>
              </w:rPr>
              <w:t>利用者がすること</w:t>
            </w:r>
          </w:p>
        </w:tc>
        <w:tc>
          <w:tcPr>
            <w:tcW w:type="dxa" w:w="4365"/>
            <w:vAlign w:val="center"/>
            <w:tcMar>
              <w:top w:w="80" w:type="dxa"/>
              <w:left w:w="80" w:type="dxa"/>
              <w:bottom w:w="80" w:type="dxa"/>
              <w:right w:w="80" w:type="dxa"/>
            </w:tcMar>
            <w:shd w:fill="E8ECF3"/>
          </w:tcPr>
          <w:p>
            <w:pPr>
              <w:spacing w:after="20" w:line="264" w:lineRule="auto"/>
            </w:pPr>
            <w:r>
              <w:rPr>
                <w:b/>
                <w:sz w:val="18"/>
              </w:rPr>
              <w:t>提供する価値</w:t>
            </w:r>
          </w:p>
        </w:tc>
      </w:tr>
      <w:tr>
        <w:trPr>
          <w:cantSplit/>
        </w:trPr>
        <w:tc>
          <w:tcPr>
            <w:tcW w:type="dxa" w:w="1304"/>
            <w:vAlign w:val="center"/>
            <w:tcMar>
              <w:top w:w="80" w:type="dxa"/>
              <w:left w:w="80" w:type="dxa"/>
              <w:bottom w:w="80" w:type="dxa"/>
              <w:right w:w="80" w:type="dxa"/>
            </w:tcMar>
            <w:shd w:fill="FFFFFF"/>
          </w:tcPr>
          <w:p>
            <w:pPr>
              <w:spacing w:after="20" w:line="264" w:lineRule="auto"/>
            </w:pPr>
            <w:r>
              <w:rPr>
                <w:b w:val="0"/>
                <w:sz w:val="18"/>
              </w:rPr>
              <w:t>探す</w:t>
            </w:r>
          </w:p>
        </w:tc>
        <w:tc>
          <w:tcPr>
            <w:tcW w:type="dxa" w:w="3969"/>
            <w:vAlign w:val="center"/>
            <w:tcMar>
              <w:top w:w="80" w:type="dxa"/>
              <w:left w:w="80" w:type="dxa"/>
              <w:bottom w:w="80" w:type="dxa"/>
              <w:right w:w="80" w:type="dxa"/>
            </w:tcMar>
            <w:shd w:fill="FFFFFF"/>
          </w:tcPr>
          <w:p>
            <w:pPr>
              <w:spacing w:after="20" w:line="264" w:lineRule="auto"/>
            </w:pPr>
            <w:r>
              <w:rPr>
                <w:b w:val="0"/>
                <w:sz w:val="18"/>
              </w:rPr>
              <w:t>興味カテゴリーやキーワードから体験を選ぶ</w:t>
            </w:r>
          </w:p>
        </w:tc>
        <w:tc>
          <w:tcPr>
            <w:tcW w:type="dxa" w:w="4365"/>
            <w:vAlign w:val="center"/>
            <w:tcMar>
              <w:top w:w="80" w:type="dxa"/>
              <w:left w:w="80" w:type="dxa"/>
              <w:bottom w:w="80" w:type="dxa"/>
              <w:right w:w="80" w:type="dxa"/>
            </w:tcMar>
            <w:shd w:fill="FFFFFF"/>
          </w:tcPr>
          <w:p>
            <w:pPr>
              <w:spacing w:after="20" w:line="264" w:lineRule="auto"/>
            </w:pPr>
            <w:r>
              <w:rPr>
                <w:b w:val="0"/>
                <w:sz w:val="18"/>
              </w:rPr>
              <w:t>職業名を知らなくても始められる</w:t>
            </w:r>
          </w:p>
        </w:tc>
      </w:tr>
      <w:tr>
        <w:trPr>
          <w:cantSplit/>
        </w:trPr>
        <w:tc>
          <w:tcPr>
            <w:tcW w:type="dxa" w:w="1304"/>
            <w:vAlign w:val="center"/>
            <w:tcMar>
              <w:top w:w="80" w:type="dxa"/>
              <w:left w:w="80" w:type="dxa"/>
              <w:bottom w:w="80" w:type="dxa"/>
              <w:right w:w="80" w:type="dxa"/>
            </w:tcMar>
            <w:shd w:fill="F7F8FA"/>
          </w:tcPr>
          <w:p>
            <w:pPr>
              <w:spacing w:after="20" w:line="264" w:lineRule="auto"/>
            </w:pPr>
            <w:r>
              <w:rPr>
                <w:b w:val="0"/>
                <w:sz w:val="18"/>
              </w:rPr>
              <w:t>考える</w:t>
            </w:r>
          </w:p>
        </w:tc>
        <w:tc>
          <w:tcPr>
            <w:tcW w:type="dxa" w:w="3969"/>
            <w:vAlign w:val="center"/>
            <w:tcMar>
              <w:top w:w="80" w:type="dxa"/>
              <w:left w:w="80" w:type="dxa"/>
              <w:bottom w:w="80" w:type="dxa"/>
              <w:right w:w="80" w:type="dxa"/>
            </w:tcMar>
            <w:shd w:fill="F7F8FA"/>
          </w:tcPr>
          <w:p>
            <w:pPr>
              <w:spacing w:after="20" w:line="264" w:lineRule="auto"/>
            </w:pPr>
            <w:r>
              <w:rPr>
                <w:b w:val="0"/>
                <w:sz w:val="18"/>
              </w:rPr>
              <w:t>具体的な状況を読み、3案から選ぶ</w:t>
            </w:r>
          </w:p>
        </w:tc>
        <w:tc>
          <w:tcPr>
            <w:tcW w:type="dxa" w:w="4365"/>
            <w:vAlign w:val="center"/>
            <w:tcMar>
              <w:top w:w="80" w:type="dxa"/>
              <w:left w:w="80" w:type="dxa"/>
              <w:bottom w:w="80" w:type="dxa"/>
              <w:right w:w="80" w:type="dxa"/>
            </w:tcMar>
            <w:shd w:fill="F7F8FA"/>
          </w:tcPr>
          <w:p>
            <w:pPr>
              <w:spacing w:after="20" w:line="264" w:lineRule="auto"/>
            </w:pPr>
            <w:r>
              <w:rPr>
                <w:b w:val="0"/>
                <w:sz w:val="18"/>
              </w:rPr>
              <w:t>仕事で考える条件や視点に触れる</w:t>
            </w:r>
          </w:p>
        </w:tc>
      </w:tr>
      <w:tr>
        <w:trPr>
          <w:cantSplit/>
        </w:trPr>
        <w:tc>
          <w:tcPr>
            <w:tcW w:type="dxa" w:w="1304"/>
            <w:vAlign w:val="center"/>
            <w:tcMar>
              <w:top w:w="80" w:type="dxa"/>
              <w:left w:w="80" w:type="dxa"/>
              <w:bottom w:w="80" w:type="dxa"/>
              <w:right w:w="80" w:type="dxa"/>
            </w:tcMar>
            <w:shd w:fill="FFFFFF"/>
          </w:tcPr>
          <w:p>
            <w:pPr>
              <w:spacing w:after="20" w:line="264" w:lineRule="auto"/>
            </w:pPr>
            <w:r>
              <w:rPr>
                <w:b w:val="0"/>
                <w:sz w:val="18"/>
              </w:rPr>
              <w:t>理解する</w:t>
            </w:r>
          </w:p>
        </w:tc>
        <w:tc>
          <w:tcPr>
            <w:tcW w:type="dxa" w:w="3969"/>
            <w:vAlign w:val="center"/>
            <w:tcMar>
              <w:top w:w="80" w:type="dxa"/>
              <w:left w:w="80" w:type="dxa"/>
              <w:bottom w:w="80" w:type="dxa"/>
              <w:right w:w="80" w:type="dxa"/>
            </w:tcMar>
            <w:shd w:fill="FFFFFF"/>
          </w:tcPr>
          <w:p>
            <w:pPr>
              <w:spacing w:after="20" w:line="264" w:lineRule="auto"/>
            </w:pPr>
            <w:r>
              <w:rPr>
                <w:b w:val="0"/>
                <w:sz w:val="18"/>
              </w:rPr>
              <w:t>共通解説と各案の利点・懸念点を読む</w:t>
            </w:r>
          </w:p>
        </w:tc>
        <w:tc>
          <w:tcPr>
            <w:tcW w:type="dxa" w:w="4365"/>
            <w:vAlign w:val="center"/>
            <w:tcMar>
              <w:top w:w="80" w:type="dxa"/>
              <w:left w:w="80" w:type="dxa"/>
              <w:bottom w:w="80" w:type="dxa"/>
              <w:right w:w="80" w:type="dxa"/>
            </w:tcMar>
            <w:shd w:fill="FFFFFF"/>
          </w:tcPr>
          <w:p>
            <w:pPr>
              <w:spacing w:after="20" w:line="264" w:lineRule="auto"/>
            </w:pPr>
            <w:r>
              <w:rPr>
                <w:b w:val="0"/>
                <w:sz w:val="18"/>
              </w:rPr>
              <w:t>案の違いと判断の理由が分かる</w:t>
            </w:r>
          </w:p>
        </w:tc>
      </w:tr>
      <w:tr>
        <w:trPr>
          <w:cantSplit/>
        </w:trPr>
        <w:tc>
          <w:tcPr>
            <w:tcW w:type="dxa" w:w="1304"/>
            <w:vAlign w:val="center"/>
            <w:tcMar>
              <w:top w:w="80" w:type="dxa"/>
              <w:left w:w="80" w:type="dxa"/>
              <w:bottom w:w="80" w:type="dxa"/>
              <w:right w:w="80" w:type="dxa"/>
            </w:tcMar>
            <w:shd w:fill="F7F8FA"/>
          </w:tcPr>
          <w:p>
            <w:pPr>
              <w:spacing w:after="20" w:line="264" w:lineRule="auto"/>
            </w:pPr>
            <w:r>
              <w:rPr>
                <w:b w:val="0"/>
                <w:sz w:val="18"/>
              </w:rPr>
              <w:t>振り返る</w:t>
            </w:r>
          </w:p>
        </w:tc>
        <w:tc>
          <w:tcPr>
            <w:tcW w:type="dxa" w:w="3969"/>
            <w:vAlign w:val="center"/>
            <w:tcMar>
              <w:top w:w="80" w:type="dxa"/>
              <w:left w:w="80" w:type="dxa"/>
              <w:bottom w:w="80" w:type="dxa"/>
              <w:right w:w="80" w:type="dxa"/>
            </w:tcMar>
            <w:shd w:fill="F7F8FA"/>
          </w:tcPr>
          <w:p>
            <w:pPr>
              <w:spacing w:after="20" w:line="264" w:lineRule="auto"/>
            </w:pPr>
            <w:r>
              <w:rPr>
                <w:b w:val="0"/>
                <w:sz w:val="18"/>
              </w:rPr>
              <w:t>気になった点や感想を選ぶ</w:t>
            </w:r>
          </w:p>
        </w:tc>
        <w:tc>
          <w:tcPr>
            <w:tcW w:type="dxa" w:w="4365"/>
            <w:vAlign w:val="center"/>
            <w:tcMar>
              <w:top w:w="80" w:type="dxa"/>
              <w:left w:w="80" w:type="dxa"/>
              <w:bottom w:w="80" w:type="dxa"/>
              <w:right w:w="80" w:type="dxa"/>
            </w:tcMar>
            <w:shd w:fill="F7F8FA"/>
          </w:tcPr>
          <w:p>
            <w:pPr>
              <w:spacing w:after="20" w:line="264" w:lineRule="auto"/>
            </w:pPr>
            <w:r>
              <w:rPr>
                <w:b w:val="0"/>
                <w:sz w:val="18"/>
              </w:rPr>
              <w:t>曖昧な気持ちを言葉にするきっかけになる</w:t>
            </w:r>
          </w:p>
        </w:tc>
      </w:tr>
      <w:tr>
        <w:trPr>
          <w:cantSplit/>
        </w:trPr>
        <w:tc>
          <w:tcPr>
            <w:tcW w:type="dxa" w:w="1304"/>
            <w:vAlign w:val="center"/>
            <w:tcMar>
              <w:top w:w="80" w:type="dxa"/>
              <w:left w:w="80" w:type="dxa"/>
              <w:bottom w:w="80" w:type="dxa"/>
              <w:right w:w="80" w:type="dxa"/>
            </w:tcMar>
            <w:shd w:fill="FFFFFF"/>
          </w:tcPr>
          <w:p>
            <w:pPr>
              <w:spacing w:after="20" w:line="264" w:lineRule="auto"/>
            </w:pPr>
            <w:r>
              <w:rPr>
                <w:b w:val="0"/>
                <w:sz w:val="18"/>
              </w:rPr>
              <w:t>調べる</w:t>
            </w:r>
          </w:p>
        </w:tc>
        <w:tc>
          <w:tcPr>
            <w:tcW w:type="dxa" w:w="3969"/>
            <w:vAlign w:val="center"/>
            <w:tcMar>
              <w:top w:w="80" w:type="dxa"/>
              <w:left w:w="80" w:type="dxa"/>
              <w:bottom w:w="80" w:type="dxa"/>
              <w:right w:w="80" w:type="dxa"/>
            </w:tcMar>
            <w:shd w:fill="FFFFFF"/>
          </w:tcPr>
          <w:p>
            <w:pPr>
              <w:spacing w:after="20" w:line="264" w:lineRule="auto"/>
            </w:pPr>
            <w:r>
              <w:rPr>
                <w:b w:val="0"/>
                <w:sz w:val="18"/>
              </w:rPr>
              <w:t>学校検索・学習教材・別の体験へ進む</w:t>
            </w:r>
          </w:p>
        </w:tc>
        <w:tc>
          <w:tcPr>
            <w:tcW w:type="dxa" w:w="4365"/>
            <w:vAlign w:val="center"/>
            <w:tcMar>
              <w:top w:w="80" w:type="dxa"/>
              <w:left w:w="80" w:type="dxa"/>
              <w:bottom w:w="80" w:type="dxa"/>
              <w:right w:w="80" w:type="dxa"/>
            </w:tcMar>
            <w:shd w:fill="FFFFFF"/>
          </w:tcPr>
          <w:p>
            <w:pPr>
              <w:spacing w:after="20" w:line="264" w:lineRule="auto"/>
            </w:pPr>
            <w:r>
              <w:rPr>
                <w:b w:val="0"/>
                <w:sz w:val="18"/>
              </w:rPr>
              <w:t>次に確認したい情報を見つけられる</w:t>
            </w:r>
          </w:p>
        </w:tc>
      </w:tr>
    </w:tbl>
    <w:p>
      <w:pPr>
        <w:spacing w:after="40" w:line="40" w:lineRule="exact"/>
      </w:pPr>
      <w:r>
        <w:rPr>
          <w:sz w:val="2"/>
        </w:rPr>
      </w:r>
    </w:p>
    <w:p>
      <w:pPr>
        <w:pStyle w:val="Heading2"/>
      </w:pPr>
      <w:r>
        <w:t>題材と体験の例</w:t>
      </w:r>
    </w:p>
    <w:p>
      <w:r>
        <w:t>入口は「つくる・表現する」「人の役に立つ」「しくみを考える」「知らない世界に触れる」の4テーマです。例えばグラフィックデザイナーでは、完成まで2日のポスター依頼を受け、最初の30分で何を確かめるかを考えます。絵の得意・不得意だけでなく、相手の意図や情報の伝え方に触れる構成です。</w:t>
      </w:r>
    </w:p>
    <w:p>
      <w:pPr>
        <w:pStyle w:val="Heading2"/>
      </w:pPr>
      <w:r>
        <w:t>原稿のつくり方と拡充</w:t>
      </w:r>
    </w:p>
    <w:p>
      <w:r>
        <w:t>自社書籍と進路ナビの情報を土台に、実際の業務描写を厚生労働省のjob tagなどで補います。AIを活用して原稿・必要な画像を事前に制作し、内容を確認して配信します。閲覧のたびにAIが生成する方式ではありません。</w:t>
      </w:r>
    </w:p>
    <w:p>
      <w:r>
        <w:t>現行導入版は19体験・57シーンです。今後は約300体験を目安に、通常2〜5件ずつ制作・確認します。同じ職業でも題材を変えた複数体験を追加できる構成です。</w:t>
      </w:r>
    </w:p>
    <w:p>
      <w:pPr>
        <w:pStyle w:val="Heading1"/>
        <w:pageBreakBefore/>
      </w:pPr>
      <w:r>
        <w:t>6 想定される効果とメリット</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7767"/>
      </w:tblGrid>
      <w:tr>
        <w:trPr>
          <w:cantSplit/>
          <w:tblHeader/>
        </w:trPr>
        <w:tc>
          <w:tcPr>
            <w:tcW w:type="dxa" w:w="1871"/>
            <w:vAlign w:val="center"/>
            <w:tcMar>
              <w:top w:w="80" w:type="dxa"/>
              <w:left w:w="80" w:type="dxa"/>
              <w:bottom w:w="80" w:type="dxa"/>
              <w:right w:w="80" w:type="dxa"/>
            </w:tcMar>
            <w:shd w:fill="E8ECF3"/>
          </w:tcPr>
          <w:p>
            <w:pPr>
              <w:spacing w:after="20" w:line="264" w:lineRule="auto"/>
            </w:pPr>
            <w:r>
              <w:rPr>
                <w:b/>
                <w:sz w:val="18"/>
              </w:rPr>
              <w:t>対象</w:t>
            </w:r>
          </w:p>
        </w:tc>
        <w:tc>
          <w:tcPr>
            <w:tcW w:type="dxa" w:w="7767"/>
            <w:vAlign w:val="center"/>
            <w:tcMar>
              <w:top w:w="80" w:type="dxa"/>
              <w:left w:w="80" w:type="dxa"/>
              <w:bottom w:w="80" w:type="dxa"/>
              <w:right w:w="80" w:type="dxa"/>
            </w:tcMar>
            <w:shd w:fill="E8ECF3"/>
          </w:tcPr>
          <w:p>
            <w:pPr>
              <w:spacing w:after="20" w:line="264" w:lineRule="auto"/>
            </w:pPr>
            <w:r>
              <w:rPr>
                <w:b/>
                <w:sz w:val="18"/>
              </w:rPr>
              <w:t>期待する変化</w:t>
            </w:r>
          </w:p>
        </w:tc>
      </w:tr>
      <w:tr>
        <w:trPr>
          <w:cantSplit/>
        </w:trPr>
        <w:tc>
          <w:tcPr>
            <w:tcW w:type="dxa" w:w="1871"/>
            <w:vAlign w:val="center"/>
            <w:tcMar>
              <w:top w:w="80" w:type="dxa"/>
              <w:left w:w="80" w:type="dxa"/>
              <w:bottom w:w="80" w:type="dxa"/>
              <w:right w:w="80" w:type="dxa"/>
            </w:tcMar>
            <w:shd w:fill="FFFFFF"/>
          </w:tcPr>
          <w:p>
            <w:pPr>
              <w:spacing w:after="20" w:line="264" w:lineRule="auto"/>
            </w:pPr>
            <w:r>
              <w:rPr>
                <w:b w:val="0"/>
                <w:sz w:val="18"/>
              </w:rPr>
              <w:t>高校生</w:t>
            </w:r>
          </w:p>
        </w:tc>
        <w:tc>
          <w:tcPr>
            <w:tcW w:type="dxa" w:w="7767"/>
            <w:vAlign w:val="center"/>
            <w:tcMar>
              <w:top w:w="80" w:type="dxa"/>
              <w:left w:w="80" w:type="dxa"/>
              <w:bottom w:w="80" w:type="dxa"/>
              <w:right w:w="80" w:type="dxa"/>
            </w:tcMar>
            <w:shd w:fill="FFFFFF"/>
          </w:tcPr>
          <w:p>
            <w:pPr>
              <w:spacing w:after="20" w:line="264" w:lineRule="auto"/>
            </w:pPr>
            <w:r>
              <w:rPr>
                <w:b w:val="0"/>
                <w:sz w:val="18"/>
              </w:rPr>
              <w:t>仕事の具体像を知り、自分が気になる部分を言葉にしやすくなる。教材や学校検索で調べる手がかりが増える。</w:t>
            </w:r>
          </w:p>
        </w:tc>
      </w:tr>
      <w:tr>
        <w:trPr>
          <w:cantSplit/>
        </w:trPr>
        <w:tc>
          <w:tcPr>
            <w:tcW w:type="dxa" w:w="1871"/>
            <w:vAlign w:val="center"/>
            <w:tcMar>
              <w:top w:w="80" w:type="dxa"/>
              <w:left w:w="80" w:type="dxa"/>
              <w:bottom w:w="80" w:type="dxa"/>
              <w:right w:w="80" w:type="dxa"/>
            </w:tcMar>
            <w:shd w:fill="F7F8FA"/>
          </w:tcPr>
          <w:p>
            <w:pPr>
              <w:spacing w:after="20" w:line="264" w:lineRule="auto"/>
            </w:pPr>
            <w:r>
              <w:rPr>
                <w:b w:val="0"/>
                <w:sz w:val="18"/>
              </w:rPr>
              <w:t>高校の進路指導</w:t>
            </w:r>
          </w:p>
        </w:tc>
        <w:tc>
          <w:tcPr>
            <w:tcW w:type="dxa" w:w="7767"/>
            <w:vAlign w:val="center"/>
            <w:tcMar>
              <w:top w:w="80" w:type="dxa"/>
              <w:left w:w="80" w:type="dxa"/>
              <w:bottom w:w="80" w:type="dxa"/>
              <w:right w:w="80" w:type="dxa"/>
            </w:tcMar>
            <w:shd w:fill="F7F8FA"/>
          </w:tcPr>
          <w:p>
            <w:pPr>
              <w:spacing w:after="20" w:line="264" w:lineRule="auto"/>
            </w:pPr>
            <w:r>
              <w:rPr>
                <w:b w:val="0"/>
                <w:sz w:val="18"/>
              </w:rPr>
              <w:t>ガイダンスや授業で得た知識を、選択と振り返りによって自分の関心と結びつける補助教材として使える。</w:t>
            </w:r>
          </w:p>
        </w:tc>
      </w:tr>
      <w:tr>
        <w:trPr>
          <w:cantSplit/>
        </w:trPr>
        <w:tc>
          <w:tcPr>
            <w:tcW w:type="dxa" w:w="1871"/>
            <w:vAlign w:val="center"/>
            <w:tcMar>
              <w:top w:w="80" w:type="dxa"/>
              <w:left w:w="80" w:type="dxa"/>
              <w:bottom w:w="80" w:type="dxa"/>
              <w:right w:w="80" w:type="dxa"/>
            </w:tcMar>
            <w:shd w:fill="FFFFFF"/>
          </w:tcPr>
          <w:p>
            <w:pPr>
              <w:spacing w:after="20" w:line="264" w:lineRule="auto"/>
            </w:pPr>
            <w:r>
              <w:rPr>
                <w:b w:val="0"/>
                <w:sz w:val="18"/>
              </w:rPr>
              <w:t>進路ナビ</w:t>
            </w:r>
          </w:p>
        </w:tc>
        <w:tc>
          <w:tcPr>
            <w:tcW w:type="dxa" w:w="7767"/>
            <w:vAlign w:val="center"/>
            <w:tcMar>
              <w:top w:w="80" w:type="dxa"/>
              <w:left w:w="80" w:type="dxa"/>
              <w:bottom w:w="80" w:type="dxa"/>
              <w:right w:w="80" w:type="dxa"/>
            </w:tcMar>
            <w:shd w:fill="FFFFFF"/>
          </w:tcPr>
          <w:p>
            <w:pPr>
              <w:spacing w:after="20" w:line="264" w:lineRule="auto"/>
            </w:pPr>
            <w:r>
              <w:rPr>
                <w:b w:val="0"/>
                <w:sz w:val="18"/>
              </w:rPr>
              <w:t>仕事への興味から学び・学校情報へ進む理由をつくり、体験・教材・学校検索の回遊を促せる。</w:t>
            </w:r>
          </w:p>
        </w:tc>
      </w:tr>
      <w:tr>
        <w:trPr>
          <w:cantSplit/>
        </w:trPr>
        <w:tc>
          <w:tcPr>
            <w:tcW w:type="dxa" w:w="1871"/>
            <w:vAlign w:val="center"/>
            <w:tcMar>
              <w:top w:w="80" w:type="dxa"/>
              <w:left w:w="80" w:type="dxa"/>
              <w:bottom w:w="80" w:type="dxa"/>
              <w:right w:w="80" w:type="dxa"/>
            </w:tcMar>
            <w:shd w:fill="F7F8FA"/>
          </w:tcPr>
          <w:p>
            <w:pPr>
              <w:spacing w:after="20" w:line="264" w:lineRule="auto"/>
            </w:pPr>
            <w:r>
              <w:rPr>
                <w:b w:val="0"/>
                <w:sz w:val="18"/>
              </w:rPr>
              <w:t>運用担当</w:t>
            </w:r>
          </w:p>
        </w:tc>
        <w:tc>
          <w:tcPr>
            <w:tcW w:type="dxa" w:w="7767"/>
            <w:vAlign w:val="center"/>
            <w:tcMar>
              <w:top w:w="80" w:type="dxa"/>
              <w:left w:w="80" w:type="dxa"/>
              <w:bottom w:w="80" w:type="dxa"/>
              <w:right w:w="80" w:type="dxa"/>
            </w:tcMar>
            <w:shd w:fill="F7F8FA"/>
          </w:tcPr>
          <w:p>
            <w:pPr>
              <w:spacing w:after="20" w:line="264" w:lineRule="auto"/>
            </w:pPr>
            <w:r>
              <w:rPr>
                <w:b w:val="0"/>
                <w:sz w:val="18"/>
              </w:rPr>
              <w:t>共通構成とデータ管理により、少量ずつ制作・確認しながら多分野へ拡充できる。</w:t>
            </w:r>
          </w:p>
        </w:tc>
      </w:tr>
    </w:tbl>
    <w:p>
      <w:pPr>
        <w:spacing w:after="40" w:line="40" w:lineRule="exact"/>
      </w:pPr>
      <w:r>
        <w:rPr>
          <w:sz w:val="2"/>
        </w:rPr>
      </w:r>
    </w:p>
    <w:p>
      <w:r>
        <w:t>これらは企画上の期待であり、効果測定済みの成果ではありません。検証指標案は、体験開始率・完了率、完了画面から学校検索／教材への遷移率、関連体験への回遊率です。資料請求やオープンキャンパス申込への寄与は、進路ナビ側の計測連携後に確認します。目標値は初期の利用状況を見て設定します。</w:t>
      </w:r>
    </w:p>
    <w:p>
      <w:pPr>
        <w:pStyle w:val="Heading2"/>
      </w:pPr>
      <w:r>
        <w:t>学校情報と広告の位置づけ</w:t>
      </w:r>
    </w:p>
    <w:p>
      <w:r>
        <w:t>体験と関連する学びを説明したうえで、大学・専門学校の情報につなげます。学校広告は分野単位で共通化する設計とし、回答によって適性を判定した広告として見せません。広告データの本番接続や地域推定APIの接続は別途必要です。</w:t>
      </w:r>
    </w:p>
    <w:p>
      <w:pPr>
        <w:pStyle w:val="Heading1"/>
      </w:pPr>
      <w:r>
        <w:t>7 デザインコンセプト</w:t>
      </w:r>
    </w:p>
    <w:p>
      <w:r>
        <w:t>「曖昧な興味を、次の一歩に変える」。情報を一度に詰め込まず、興味を持つ、ひと場面を選ぶ、考える、気づく、調べる、という理解の順序に合わせて画面を構成します。</w:t>
      </w:r>
    </w:p>
    <w:p>
      <w:r>
        <w:t>紫からオレンジへのグラデーションは、まだ言葉にならない気持ちから行動へ移る過程を表現します。本文は読みやすい濃色で統一し、色や写真は主役の文章と行動を助ける役割にします。スマートフォンでは説明と開始ボタンを写真より先に置きます。</w:t>
      </w:r>
    </w:p>
    <w:p>
      <w:pPr>
        <w:pStyle w:val="Heading1"/>
        <w:pageBreakBefore/>
      </w:pPr>
      <w:r>
        <w:t>8 Webサイトの構成や画面イメージ</w:t>
      </w:r>
    </w:p>
    <w:p>
      <w:r>
        <w:t>基本動線は、TOPで体験を選ぶ → 3シーンを体験する → 感想を振り返る → 学び・学校・教材を調べる、です。aboutにはサービスの考え方と参考情報の方針をまとめます。下図は情報の順序を示す構成イメージです。</w:t>
      </w:r>
    </w:p>
    <w:p>
      <w:r>
        <w:drawing>
          <wp:inline xmlns:a="http://schemas.openxmlformats.org/drawingml/2006/main" xmlns:pic="http://schemas.openxmlformats.org/drawingml/2006/picture">
            <wp:extent cx="6120000" cy="4406400"/>
            <wp:docPr id="1" name="Picture 1"/>
            <wp:cNvGraphicFramePr>
              <a:graphicFrameLocks noChangeAspect="1"/>
            </wp:cNvGraphicFramePr>
            <a:graphic>
              <a:graphicData uri="http://schemas.openxmlformats.org/drawingml/2006/picture">
                <pic:pic>
                  <pic:nvPicPr>
                    <pic:cNvPr id="0" name="screenStructure.png"/>
                    <pic:cNvPicPr/>
                  </pic:nvPicPr>
                  <pic:blipFill>
                    <a:blip r:embed="rId10"/>
                    <a:stretch>
                      <a:fillRect/>
                    </a:stretch>
                  </pic:blipFill>
                  <pic:spPr>
                    <a:xfrm>
                      <a:off x="0" y="0"/>
                      <a:ext cx="6120000" cy="4406400"/>
                    </a:xfrm>
                    <a:prstGeom prst="rect"/>
                  </pic:spPr>
                </pic:pic>
              </a:graphicData>
            </a:graphic>
          </wp:inline>
        </w:drawing>
      </w:r>
    </w:p>
    <w:p>
      <w:r>
        <w:t>PCはTOP一覧を9件、SPは8件から表示し、「もっとみる」で同じ件数ずつ追加します。FVは通常表示で650px以内とし、ヘッダー・パンくずの領域は別に扱います。文字拡大時は内容を切らないよう高さを許容します。</w:t>
      </w:r>
    </w:p>
    <w:p>
      <w:pPr>
        <w:pStyle w:val="Heading2"/>
      </w:pPr>
      <w:r>
        <w:t>連携の範囲</w:t>
      </w:r>
    </w:p>
    <w:p>
      <w:r>
        <w:t>ミライシーンから関連する学習教材と、分野パラメータを付けた学校検索へ進む導線は実装済みです。教材側へ戻りリンクを設置するためのデータも用意しています。進路ナビ本番への配置と、教材側のリンク設置は導入先で行います。オープンキャンパスへもつながる全体動線は今後の検討対象です。</w:t>
      </w:r>
    </w:p>
    <w:p>
      <w:r>
        <w:t>学校の進路指導では診断・教材・ガイダンスと組み合わせられますが、利用順序を固定せず、どの入口からでも体験できる構成にします。</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0" w:lineRule="auto"/>
    </w:pPr>
    <w:rPr>
      <w:rFonts w:ascii="Yu Gothic" w:hAnsi="Yu Gothic" w:eastAsia="Yu Gothi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line="300" w:lineRule="auto"/>
      <w:outlineLvl w:val="0"/>
    </w:pPr>
    <w:rPr>
      <w:rFonts w:asciiTheme="majorHAnsi" w:eastAsiaTheme="majorEastAsia" w:hAnsiTheme="majorHAnsi" w:cstheme="majorBidi" w:ascii="Yu Gothic" w:hAnsi="Yu Gothic" w:eastAsia="Yu Gothic"/>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40" w:line="300" w:lineRule="auto"/>
      <w:outlineLvl w:val="1"/>
    </w:pPr>
    <w:rPr>
      <w:rFonts w:asciiTheme="majorHAnsi" w:eastAsiaTheme="majorEastAsia" w:hAnsiTheme="majorHAnsi" w:cstheme="majorBidi" w:ascii="Yu Gothic" w:hAnsi="Yu Gothic" w:eastAsia="Yu Gothi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300" w:lineRule="auto"/>
      <w:contextualSpacing/>
    </w:pPr>
    <w:rPr>
      <w:rFonts w:asciiTheme="majorHAnsi" w:eastAsiaTheme="majorEastAsia" w:hAnsiTheme="majorHAnsi" w:cstheme="majorBidi" w:ascii="Yu Gothic" w:hAnsi="Yu Gothic" w:eastAsia="Yu Gothic"/>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b w:val="0"/>
      <w:i w:val="0"/>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00" w:lineRule="auto" w:after="140"/>
    </w:pPr>
    <w:rPr>
      <w:rFonts w:ascii="Yu Gothic" w:hAnsi="Yu Gothic" w:eastAsia="Yu Gothic"/>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ミライシーン 企画書</dc:title>
  <dc:subject/>
  <dc:creator>ミライシーン</dc:creator>
  <cp:keywords/>
  <dc:description>generated by python-docx</dc:description>
  <cp:lastModifiedBy/>
  <cp:revision>1</cp:revision>
  <dcterms:created xsi:type="dcterms:W3CDTF">2013-12-23T23:15:00Z</dcterms:created>
  <dcterms:modified xsi:type="dcterms:W3CDTF">2013-12-23T23:15:00Z</dcterms:modified>
  <cp:category/>
</cp:coreProperties>
</file>