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889" w:type="dxa"/>
        <w:tblInd w:w="6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5"/>
        <w:gridCol w:w="1426"/>
        <w:gridCol w:w="1427"/>
        <w:gridCol w:w="1426"/>
        <w:gridCol w:w="1427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4" w:hRule="atLeast"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</w:tcBorders>
            <w:shd w:val="clear" w:color="auto" w:fill="FFFFFF" w:themeFill="background1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8" w:type="dxa"/>
            <w:gridSpan w:val="4"/>
            <w:tcBorders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Compared to: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4" w:hRule="atLeast"/>
        </w:trPr>
        <w:tc>
          <w:tcPr>
            <w:tcW w:w="2181" w:type="dxa"/>
            <w:gridSpan w:val="2"/>
            <w:vMerge w:val="continue"/>
            <w:tcBorders>
              <w:left w:val="nil"/>
            </w:tcBorders>
            <w:textDirection w:val="btLr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</w:rPr>
              <w:t>Alignment</w:t>
            </w: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</w:rPr>
              <w:t>MMARC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</w:rPr>
              <w:t>MMARC-</w:t>
            </w:r>
            <w:r>
              <w:rPr>
                <w:b w:val="0"/>
                <w:bCs w:val="0"/>
                <w:i w:val="0"/>
                <w:iCs w:val="0"/>
                <w:vertAlign w:val="baseline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vertAlign w:val="baseline"/>
              </w:rPr>
              <w:t>assembled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vertAlign w:val="baseline"/>
              </w:rPr>
            </w:pPr>
            <w:r>
              <w:rPr>
                <w:b w:val="0"/>
                <w:bCs w:val="0"/>
                <w:i w:val="0"/>
                <w:iCs w:val="0"/>
                <w:vertAlign w:val="baseline"/>
              </w:rPr>
              <w:t>Resfams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4" w:hRule="atLeast"/>
        </w:trPr>
        <w:tc>
          <w:tcPr>
            <w:tcW w:w="755" w:type="dxa"/>
            <w:vMerge w:val="restart"/>
            <w:tcBorders/>
            <w:textDirection w:val="btLr"/>
            <w:vAlign w:val="center"/>
          </w:tcPr>
          <w:p>
            <w:pPr>
              <w:ind w:left="113" w:leftChars="0" w:right="113" w:rightChars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Pipeline</w:t>
            </w: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Alignment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8.2%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0.8%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17.5%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4" w:hRule="atLeast"/>
        </w:trPr>
        <w:tc>
          <w:tcPr>
            <w:tcW w:w="75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MMARC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79.6%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1.3%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42.5%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4" w:hRule="atLeast"/>
        </w:trPr>
        <w:tc>
          <w:tcPr>
            <w:tcW w:w="75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MMARC-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assembled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98.2%</w:t>
            </w: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97.7%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96.4%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1" w:hRule="atLeast"/>
        </w:trPr>
        <w:tc>
          <w:tcPr>
            <w:tcW w:w="75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Resfams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81.4%</w:t>
            </w: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56.7%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3.1%</w:t>
            </w:r>
          </w:p>
        </w:tc>
        <w:tc>
          <w:tcPr>
            <w:tcW w:w="142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</w:tr>
    </w:tbl>
    <w:p>
      <w:pPr/>
      <w:r>
        <w:t>Table 1. Percent of samples where a given pipeline had more true positive classifications compared to another pipeline.  For example, MMARC-assembled classified more true positives in 97.</w:t>
      </w:r>
      <w:bookmarkStart w:id="0" w:name="_GoBack"/>
      <w:bookmarkEnd w:id="0"/>
      <w:r>
        <w:t>7% of the Soil and Pediatric samples compared to MMARC.</w:t>
      </w:r>
    </w:p>
    <w:p>
      <w:pPr/>
    </w:p>
    <w:p>
      <w:pPr/>
    </w:p>
    <w:tbl>
      <w:tblPr>
        <w:tblStyle w:val="4"/>
        <w:tblW w:w="7889" w:type="dxa"/>
        <w:tblInd w:w="6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426"/>
        <w:gridCol w:w="1427"/>
        <w:gridCol w:w="1426"/>
        <w:gridCol w:w="1427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4" w:hRule="atLeast"/>
        </w:trPr>
        <w:tc>
          <w:tcPr>
            <w:tcW w:w="2181" w:type="dxa"/>
            <w:gridSpan w:val="2"/>
            <w:vMerge w:val="restart"/>
            <w:tcBorders>
              <w:top w:val="nil"/>
              <w:left w:val="nil"/>
            </w:tcBorders>
            <w:shd w:val="clear" w:color="auto" w:fill="FFFFFF" w:themeFill="background1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708" w:type="dxa"/>
            <w:gridSpan w:val="4"/>
            <w:tcBorders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Compared to: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4" w:hRule="atLeast"/>
        </w:trPr>
        <w:tc>
          <w:tcPr>
            <w:tcW w:w="2181" w:type="dxa"/>
            <w:gridSpan w:val="2"/>
            <w:vMerge w:val="continue"/>
            <w:tcBorders>
              <w:left w:val="nil"/>
            </w:tcBorders>
            <w:textDirection w:val="btLr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Alignment</w:t>
            </w: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MMARC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MMARC-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assembled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Resfams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4" w:hRule="atLeast"/>
        </w:trPr>
        <w:tc>
          <w:tcPr>
            <w:tcW w:w="755" w:type="dxa"/>
            <w:vMerge w:val="restart"/>
            <w:textDirection w:val="btLr"/>
            <w:vAlign w:val="center"/>
          </w:tcPr>
          <w:p>
            <w:pPr>
              <w:ind w:left="113" w:leftChars="0" w:right="113" w:rightChars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Pipeline</w:t>
            </w: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Alignment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31.4%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33.8%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30.4%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4" w:hRule="atLeast"/>
        </w:trPr>
        <w:tc>
          <w:tcPr>
            <w:tcW w:w="75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MMARC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55.7%</w:t>
            </w:r>
          </w:p>
        </w:tc>
        <w:tc>
          <w:tcPr>
            <w:tcW w:w="142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64.7%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44.6%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4" w:hRule="atLeast"/>
        </w:trPr>
        <w:tc>
          <w:tcPr>
            <w:tcW w:w="75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MMARC-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assembled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65.2%</w:t>
            </w: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33.8%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29.1</w:t>
            </w:r>
            <w:r>
              <w:rPr>
                <w:vertAlign w:val="baseline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1" w:hRule="atLeast"/>
        </w:trPr>
        <w:tc>
          <w:tcPr>
            <w:tcW w:w="755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Resfams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68.3%</w:t>
            </w:r>
          </w:p>
        </w:tc>
        <w:tc>
          <w:tcPr>
            <w:tcW w:w="1426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50.0%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70.1%</w:t>
            </w:r>
          </w:p>
        </w:tc>
        <w:tc>
          <w:tcPr>
            <w:tcW w:w="142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</w:tr>
    </w:tbl>
    <w:p>
      <w:pPr/>
      <w:r>
        <w:t xml:space="preserve">Table </w:t>
      </w:r>
      <w:r>
        <w:t>2</w:t>
      </w:r>
      <w:r>
        <w:t xml:space="preserve">. Percent of samples where a given pipeline had </w:t>
      </w:r>
      <w:r>
        <w:t>a higher proportion of reads classified correctly (regardless of total number classified)</w:t>
      </w:r>
      <w:r>
        <w:rPr>
          <w:rFonts w:hint="default"/>
        </w:rPr>
        <w:t xml:space="preserve"> </w:t>
      </w:r>
      <w:r>
        <w:t xml:space="preserve">compared to another pipeline.  For example, MMARC-assembled </w:t>
      </w:r>
      <w:r>
        <w:t>had a higher proportion of reads classified correctly</w:t>
      </w:r>
      <w:r>
        <w:t xml:space="preserve"> in </w:t>
      </w:r>
      <w:r>
        <w:t>33.8</w:t>
      </w:r>
      <w:r>
        <w:t>% of the Soil and Pediatric samples compared to MMARC.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B49FD"/>
    <w:rsid w:val="24FDD1DC"/>
    <w:rsid w:val="7FAD3E77"/>
    <w:rsid w:val="7FDDD500"/>
    <w:rsid w:val="BF6B7BA3"/>
    <w:rsid w:val="BFE6B65B"/>
    <w:rsid w:val="DF4FF674"/>
    <w:rsid w:val="EFDAA3AE"/>
    <w:rsid w:val="FAFB49FD"/>
    <w:rsid w:val="FEDF69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2017-03-04T12:39:00Z</dcterms:created>
  <dc:creator>lakinsm</dc:creator>
  <cp:lastModifiedBy>lakinsm</cp:lastModifiedBy>
  <dcterms:modified xsi:type="dcterms:W3CDTF">2017-03-04T21:48:02Z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