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1F4E79"/>
          <w:sz w:val="40"/>
          <w:szCs w:val="40"/>
        </w:rPr>
        <w:t xml:space="preserve">Home Insurance Agent Assistant</w:t>
      </w:r>
    </w:p>
    <w:p>
      <w:pPr>
        <w:spacing w:after="40"/>
      </w:pPr>
      <w:r>
        <w:rPr>
          <w:color w:val="333333"/>
          <w:sz w:val="26"/>
          <w:szCs w:val="26"/>
        </w:rPr>
        <w:t xml:space="preserve">HO3/HO5 Underwriting Guidelines RAG Pipeline</w:t>
      </w:r>
    </w:p>
    <w:p>
      <w:pPr>
        <w:spacing w:after="20"/>
      </w:pPr>
      <w:r>
        <w:rPr>
          <w:i/>
          <w:iCs/>
          <w:sz w:val="22"/>
          <w:szCs w:val="22"/>
        </w:rPr>
        <w:t xml:space="preserve">Project 2 — Financial / Regulated Document Intelligence</w:t>
      </w:r>
    </w:p>
    <w:p>
      <w:pPr>
        <w:pBdr>
          <w:bottom w:val="single" w:color="1F4E79" w:sz="6" w:space="6"/>
        </w:pBdr>
        <w:spacing w:after="200"/>
      </w:pPr>
      <w:r>
        <w:rPr>
          <w:color w:val="888888"/>
          <w:sz w:val="22"/>
          <w:szCs w:val="22"/>
        </w:rPr>
        <w:t xml:space="preserve">The Gen Academy  |  Week 2 RAG Project</w:t>
      </w:r>
    </w:p>
    <w:p>
      <w:pPr>
        <w:pStyle w:val="Heading1"/>
      </w:pPr>
      <w:r>
        <w:t xml:space="preserve">Part 1 — The RAG Framework</w:t>
      </w:r>
    </w:p>
    <w:p>
      <w:pPr>
        <w:pStyle w:val="Heading2"/>
      </w:pPr>
      <w:r>
        <w:t xml:space="preserve">The Primer</w:t>
      </w:r>
    </w:p>
    <w:p>
      <w:pPr>
        <w:spacing w:after="120" w:before="0" w:line="276"/>
      </w:pPr>
      <w:r>
        <w:rPr>
          <w:b/>
          <w:bCs/>
        </w:rPr>
        <w:t xml:space="preserve">One-liner: </w:t>
      </w:r>
      <w:r>
        <w:t xml:space="preserve">My RAG app helps home-insurance underwriters and agents answer HO3/HO5 eligibility, coverage, hazard, endorsement, rating, and referral questions from a corpus of 5 underwriting guideline documents, through a Streamlit chat interface — achieving 100% source-recall and 100% answer-relevance on 15 graded questions, correct refusal on out-of-corpus questions, and sub-15-second latency per query.</w:t>
      </w:r>
    </w:p>
    <w:p>
      <w:pPr>
        <w:pStyle w:val="Heading2"/>
      </w:pPr>
      <w:r>
        <w:t xml:space="preserve">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Field</w:t>
            </w:r>
          </w:p>
        </w:tc>
        <w:tc>
          <w:tcPr>
            <w:tcW w:type="dxa" w:w="7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This Project</w:t>
            </w:r>
          </w:p>
        </w:tc>
      </w:tr>
      <w:tr>
        <w:tc>
          <w:tcPr>
            <w:tcW w:type="dxa" w:w="2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Use case</w:t>
            </w:r>
          </w:p>
        </w:tc>
        <w:tc>
          <w:tcPr>
            <w:tcW w:type="dxa" w:w="71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Home-insurance underwriters and agents ask natural-language questions about HO3/HO5 homeowners eligibility, declines, referrals, hazard rules, endorsements, and rating. The interface is a Streamlit chat window. Every answer is grounded only in retrieved guideline excerpts and cites the source document.</w:t>
            </w:r>
          </w:p>
        </w:tc>
      </w:tr>
      <w:tr>
        <w:tc>
          <w:tcPr>
            <w:tcW w:type="dxa" w:w="2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Corpus</w:t>
            </w:r>
          </w:p>
        </w:tc>
        <w:tc>
          <w:tcPr>
            <w:tcW w:type="dxa" w:w="71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Five Markdown HO3/HO5 underwriting guideline documents (demo underwriting knowledge base, ~synthetic): uw_guidelines_homeowners.md, hazards_guidance.md, endorsements_manual.md, rating_rules.md, uw_workflow_playbook.md. Section-structured text covering eligibility, hazards, endorsements, rating rules, and triage workflow. Source of truth: demo underwriting knowledge base.</w:t>
            </w:r>
          </w:p>
        </w:tc>
      </w:tr>
      <w:tr>
        <w:tc>
          <w:tcPr>
            <w:tcW w:type="dxa" w:w="2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Ingestion + cleaning</w:t>
            </w:r>
          </w:p>
        </w:tc>
        <w:tc>
          <w:tcPr>
            <w:tcW w:type="dxa" w:w="71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Markdown files are loaded from data/guidelines/. Filenames are preserved as source metadata and section headings are retained inside chunk text. The same chunking is applied to BOTH the dense (Pinecone) and sparse (BM25) sides so the strategy comparison is apples-to-apples.</w:t>
            </w:r>
          </w:p>
        </w:tc>
      </w:tr>
      <w:tr>
        <w:tc>
          <w:tcPr>
            <w:tcW w:type="dxa" w:w="2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Ingestion + freshness</w:t>
            </w:r>
          </w:p>
        </w:tc>
        <w:tc>
          <w:tcPr>
            <w:tcW w:type="dxa" w:w="71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Manual: update the Markdown files and rerun python ingest.py to re-index (each strategy re-upserts its Pinecone namespace). No automated refresh — underwriting guidelines are periodic, point-in-time documents.</w:t>
            </w:r>
          </w:p>
        </w:tc>
      </w:tr>
      <w:tr>
        <w:tc>
          <w:tcPr>
            <w:tcW w:type="dxa" w:w="2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Chunking + embedding</w:t>
            </w:r>
          </w:p>
        </w:tc>
        <w:tc>
          <w:tcPr>
            <w:tcW w:type="dxa" w:w="71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60"/>
            </w:pPr>
            <w:r>
              <w:t xml:space="preserve">Two strategies compared side-by-side:</w:t>
            </w:r>
          </w:p>
          <w:p>
            <w:pPr>
              <w:pStyle w:val="ListParagraph"/>
              <w:numPr>
                <w:ilvl w:val="0"/>
                <w:numId w:val="2"/>
              </w:numPr>
              <w:spacing w:after="40"/>
            </w:pPr>
            <w:r>
              <w:rPr>
                <w:b/>
                <w:bCs/>
              </w:rPr>
              <w:t xml:space="preserve">Fixed: </w:t>
            </w:r>
            <w:r>
              <w:t xml:space="preserve">RecursiveCharacterTextSplitter, 512-char chunks, 50-char overlap → 27 chunks.</w:t>
            </w:r>
          </w:p>
          <w:p>
            <w:pPr>
              <w:pStyle w:val="ListParagraph"/>
              <w:numPr>
                <w:ilvl w:val="0"/>
                <w:numId w:val="2"/>
              </w:numPr>
              <w:spacing w:after="60"/>
            </w:pPr>
            <w:r>
              <w:rPr>
                <w:b/>
                <w:bCs/>
              </w:rPr>
              <w:t xml:space="preserve">Paragraph: </w:t>
            </w:r>
            <w:r>
              <w:t xml:space="preserve">split on blank lines (section-aware), variable size → 47 chunks.</w:t>
            </w:r>
          </w:p>
          <w:p>
            <w:r>
              <w:t xml:space="preserve">Embedding model: OpenAI text-embedding-3-small (1536-dim).</w:t>
            </w:r>
          </w:p>
        </w:tc>
      </w:tr>
      <w:tr>
        <w:tc>
          <w:tcPr>
            <w:tcW w:type="dxa" w:w="2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Retrieve</w:t>
            </w:r>
          </w:p>
        </w:tc>
        <w:tc>
          <w:tcPr>
            <w:tcW w:type="dxa" w:w="71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60"/>
            </w:pPr>
            <w:r>
              <w:rPr>
                <w:b/>
                <w:bCs/>
              </w:rPr>
              <w:t xml:space="preserve">Store: </w:t>
            </w:r>
            <w:r>
              <w:t xml:space="preserve">Pinecone serverless (AWS us-east-1) — two namespaces (fixed, paragraph), one per strategy, dimension 1536, cosine.</w:t>
            </w:r>
          </w:p>
          <w:p>
            <w:pPr>
              <w:spacing w:after="60"/>
            </w:pPr>
            <w:r>
              <w:rPr>
                <w:b/>
                <w:bCs/>
              </w:rPr>
              <w:t xml:space="preserve">Retrieval: </w:t>
            </w:r>
            <w:r>
              <w:t xml:space="preserve">Hybrid — Pinecone dense similarity + BM25 Okapi keyword search, fused via Reciprocal Rank Fusion (k=60) into a candidate pool.</w:t>
            </w:r>
          </w:p>
          <w:p>
            <w:r>
              <w:rPr>
                <w:b/>
                <w:bCs/>
              </w:rPr>
              <w:t xml:space="preserve">Rerank: </w:t>
            </w:r>
            <w:r>
              <w:t xml:space="preserve">an LLM reranker (Nebius Llama-3.3-70B) re-scores the fused pool 0–10 and keeps the top-5 for generation; refusal fires when the top score &lt; 3.</w:t>
            </w:r>
          </w:p>
        </w:tc>
      </w:tr>
    </w:tbl>
    <w:p>
      <w:pPr>
        <w:pStyle w:val="Heading1"/>
        <w:pageBreakBefore/>
      </w:pPr>
      <w:r>
        <w:t xml:space="preserve">Part 2 — Build Track</w:t>
      </w:r>
    </w:p>
    <w:p>
      <w:pPr>
        <w:pStyle w:val="Heading2"/>
      </w:pPr>
      <w:r>
        <w:t xml:space="preserve">Track 2: Code-Heavy with LangChain + Pinecone</w:t>
      </w:r>
    </w:p>
    <w:p>
      <w:pPr>
        <w:spacing w:after="120" w:before="0" w:line="276"/>
      </w:pPr>
      <w:r>
        <w:t xml:space="preserve">This project uses Track 2 — a fully code-driven Python pipeline built on LangChain primitives with custom hybrid retrieval, LLM reranking, a code-based evaluation harness, and a Streamlit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Aspect</w:t>
            </w:r>
          </w:p>
        </w:tc>
        <w:tc>
          <w:tcPr>
            <w:tcW w:type="dxa" w:w="7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Details</w:t>
            </w:r>
          </w:p>
        </w:tc>
      </w:tr>
      <w:tr>
        <w:tc>
          <w:tcPr>
            <w:tcW w:type="dxa" w:w="2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Key building blocks</w:t>
            </w:r>
          </w:p>
        </w:tc>
        <w:tc>
          <w:tcPr>
            <w:tcW w:type="dxa" w:w="71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LangChain (langchain-openai OpenAIEmbeddings; langchain-pinecone PineconeVectorStore; langchain-text-splitters RecursiveCharacterTextSplitter), Pinecone (serverless), rank_bm25 (BM25Okapi), the OpenAI SDK pointed at Nebius for chat completions, python-dotenv, and Streamlit.</w:t>
            </w:r>
          </w:p>
        </w:tc>
      </w:tr>
      <w:tr>
        <w:tc>
          <w:tcPr>
            <w:tcW w:type="dxa" w:w="2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Nebius requirement</w:t>
            </w:r>
          </w:p>
        </w:tc>
        <w:tc>
          <w:tcPr>
            <w:tcW w:type="dxa" w:w="71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BOTH the answer-generation model (meta-llama/Llama-3.3-70B-Instruct) and the LLM reranker are served via Nebius Token Factory using its OpenAI-compatible API. Embeddings use OpenAI text-embedding-3-small to match the 1536-dim Pinecone index. Two model-call paths route through Nebius — exceeding the “at least one model call” requirement.</w:t>
            </w:r>
          </w:p>
        </w:tc>
      </w:tr>
      <w:tr>
        <w:tc>
          <w:tcPr>
            <w:tcW w:type="dxa" w:w="2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Why Track 2</w:t>
            </w:r>
          </w:p>
        </w:tc>
        <w:tc>
          <w:tcPr>
            <w:tcW w:type="dxa" w:w="71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Full control over chunking, hybrid retrieval fusion, LLM reranking, the relevance-based refusal threshold, and writing evaluation as code.</w:t>
            </w:r>
          </w:p>
        </w:tc>
      </w:tr>
    </w:tbl>
    <w:p>
      <w:pPr>
        <w:pStyle w:val="Heading1"/>
        <w:pageBreakBefore/>
      </w:pPr>
      <w:r>
        <w:t xml:space="preserve">Part 3 — Technical Documentation</w:t>
      </w:r>
    </w:p>
    <w:p>
      <w:pPr>
        <w:pStyle w:val="Heading2"/>
      </w:pPr>
      <w:r>
        <w:t xml:space="preserve">3.1 Architecture</w:t>
      </w:r>
    </w:p>
    <w:p>
      <w:pPr>
        <w:pStyle w:val="Heading3"/>
      </w:pPr>
      <w:r>
        <w:t xml:space="preserve">High-Level Pipeline</w:t>
      </w:r>
    </w:p>
    <w:p>
      <w:pPr>
        <w:spacing w:after="120" w:before="0" w:line="276"/>
      </w:pPr>
      <w:r>
        <w:t xml:space="preserve">The pipeline has two phases. The build phase runs once to prepare the Pinecone namespaces; the query phase runs on every user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Phase</w:t>
            </w:r>
          </w:p>
        </w:tc>
        <w:tc>
          <w:tcPr>
            <w:tcW w:type="dxa" w:w="7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Steps</w:t>
            </w:r>
          </w:p>
        </w:tc>
      </w:tr>
      <w:tr>
        <w:tc>
          <w:tcPr>
            <w:tcW w:type="dxa" w:w="15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Build</w:t>
            </w:r>
          </w:p>
        </w:tc>
        <w:tc>
          <w:tcPr>
            <w:tcW w:type="dxa" w:w="78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Load Markdown (data/guidelines) → Chunk (fixed + paragraph, chunking.py) → Embed (OpenAI text-embedding-3-small) → Upsert to Pinecone (two namespaces)</w:t>
            </w:r>
          </w:p>
        </w:tc>
      </w:tr>
      <w:tr>
        <w:tc>
          <w:tcPr>
            <w:tcW w:type="dxa" w:w="15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Query</w:t>
            </w:r>
          </w:p>
        </w:tc>
        <w:tc>
          <w:tcPr>
            <w:tcW w:type="dxa" w:w="78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Embed query (OpenAI) → Pinecone dense search + BM25 keyword search → RRF fusion (k=60) → LLM rerank (Nebius, top-5) → refusal check (top score &lt; 3) → LLM generation (Nebius Llama-3.3-70B) → cited answer</w:t>
            </w:r>
          </w:p>
        </w:tc>
      </w:tr>
    </w:tbl>
    <w:p>
      <w:pPr>
        <w:spacing w:after="80"/>
      </w:pPr>
    </w:p>
    <w:p>
      <w:pPr>
        <w:pStyle w:val="Heading3"/>
      </w:pPr>
      <w:r>
        <w:t xml:space="preserve">Chunking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1000"/>
        <w:gridCol w:w="280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Strategy</w:t>
            </w:r>
          </w:p>
        </w:tc>
        <w:tc>
          <w:tcPr>
            <w:tcW w:type="dxa" w:w="4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Method</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Chunks</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Best For</w:t>
            </w:r>
          </w:p>
        </w:tc>
      </w:tr>
      <w:tr>
        <w:tc>
          <w:tcPr>
            <w:tcW w:type="dxa" w:w="15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Fixed</w:t>
            </w:r>
          </w:p>
        </w:tc>
        <w:tc>
          <w:tcPr>
            <w:tcW w:type="dxa" w:w="40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RecursiveCharacterTextSplitter, 512 char, 50 overlap</w:t>
            </w:r>
          </w:p>
        </w:tc>
        <w:tc>
          <w:tcPr>
            <w:tcW w:type="dxa" w:w="1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27</w:t>
            </w:r>
          </w:p>
        </w:tc>
        <w:tc>
          <w:tcPr>
            <w:tcW w:type="dxa" w:w="28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Uniform size; numeric tables and short code/section lookups</w:t>
            </w:r>
          </w:p>
        </w:tc>
      </w:tr>
      <w:tr>
        <w:tc>
          <w:tcPr>
            <w:tcW w:type="dxa" w:w="15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Paragraph</w:t>
            </w:r>
          </w:p>
        </w:tc>
        <w:tc>
          <w:tcPr>
            <w:tcW w:type="dxa" w:w="40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Split on blank lines (section-aware), variable size</w:t>
            </w:r>
          </w:p>
        </w:tc>
        <w:tc>
          <w:tcPr>
            <w:tcW w:type="dxa" w:w="1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47</w:t>
            </w:r>
          </w:p>
        </w:tc>
        <w:tc>
          <w:tcPr>
            <w:tcW w:type="dxa" w:w="28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Section-bounded rules; narrative, multi-sentence reasoning</w:t>
            </w:r>
          </w:p>
        </w:tc>
      </w:tr>
    </w:tbl>
    <w:p>
      <w:pPr>
        <w:spacing w:after="80"/>
      </w:pPr>
    </w:p>
    <w:p>
      <w:pPr>
        <w:pStyle w:val="Heading3"/>
      </w:pPr>
      <w:r>
        <w:t xml:space="preserve">Hybrid Retrieval (Dense + BM25 + RRF)</w:t>
      </w:r>
    </w:p>
    <w:p>
      <w:pPr>
        <w:spacing w:after="120" w:before="0" w:line="276"/>
      </w:pPr>
      <w:r>
        <w:t xml:space="preserve">Each query triggers two independent search paths over the full corpus. Results are merged before the LLM ever sees them.</w:t>
      </w:r>
    </w:p>
    <w:p>
      <w:pPr>
        <w:pStyle w:val="ListParagraph"/>
        <w:numPr>
          <w:ilvl w:val="0"/>
          <w:numId w:val="2"/>
        </w:numPr>
        <w:spacing w:after="60" w:line="270"/>
      </w:pPr>
      <w:r>
        <w:rPr>
          <w:b/>
          <w:bCs/>
        </w:rPr>
        <w:t xml:space="preserve">Dense search: </w:t>
      </w:r>
      <w:r>
        <w:t xml:space="preserve">query embedded via text-embedding-3-small (OpenAI); Pinecone returns nearest neighbours by cosine similarity. Captures semantic intent — “basement” matches “water backup”.</w:t>
      </w:r>
    </w:p>
    <w:p>
      <w:pPr>
        <w:pStyle w:val="ListParagraph"/>
        <w:numPr>
          <w:ilvl w:val="0"/>
          <w:numId w:val="2"/>
        </w:numPr>
        <w:spacing w:after="60" w:line="270"/>
      </w:pPr>
      <w:r>
        <w:rPr>
          <w:b/>
          <w:bCs/>
        </w:rPr>
        <w:t xml:space="preserve">BM25 keyword search: </w:t>
      </w:r>
      <w:r>
        <w:t xml:space="preserve">the corpus is chunked per strategy and tokenised in-memory; BM25 Okapi scores every chunk by term frequency. Catches exact terms — section numbers, endorsement codes (WBK-01, ORD-01, FLX-ACK), “$2,500”.</w:t>
      </w:r>
    </w:p>
    <w:p>
      <w:pPr>
        <w:pStyle w:val="ListParagraph"/>
        <w:numPr>
          <w:ilvl w:val="0"/>
          <w:numId w:val="2"/>
        </w:numPr>
        <w:spacing w:after="60" w:line="270"/>
      </w:pPr>
      <w:r>
        <w:rPr>
          <w:b/>
          <w:bCs/>
        </w:rPr>
        <w:t xml:space="preserve">RRF fusion: </w:t>
      </w:r>
      <w:r>
        <w:t xml:space="preserve">fused score = Σ 1/(k + rank + 1) with k=60 across both lists. Chunks ranking high in both lists score highest. The top candidate pool proceeds to reranking.</w:t>
      </w:r>
    </w:p>
    <w:p>
      <w:pPr>
        <w:spacing w:after="120" w:before="0" w:line="276"/>
      </w:pPr>
      <w:r>
        <w:rPr>
          <w:b/>
          <w:bCs/>
        </w:rPr>
        <w:t xml:space="preserve">Important: </w:t>
      </w:r>
      <w:r>
        <w:t xml:space="preserve">BM25 does not search the output of dense search. Both paths search the full corpus independently.</w:t>
      </w:r>
    </w:p>
    <w:p>
      <w:pPr>
        <w:spacing w:after="80"/>
      </w:pPr>
    </w:p>
    <w:p>
      <w:pPr>
        <w:pStyle w:val="Heading3"/>
      </w:pPr>
      <w:r>
        <w:t xml:space="preserve">LLM Reranking</w:t>
      </w:r>
    </w:p>
    <w:p>
      <w:pPr>
        <w:spacing w:after="120" w:before="0" w:line="276"/>
      </w:pPr>
      <w:r>
        <w:t xml:space="preserve">The reranker sends the question plus each candidate to Nebius Llama-3.3-70B in a single batched call and scores each passage 0–10 for how well it answers the question. Unlike RRF (which only knows rank position) and the embedding model (which scores question and passage independently), the reranker reads them together for a more precise relevance signal. The top-5 after reranking are sent to the LLM.</w:t>
      </w:r>
    </w:p>
    <w:p>
      <w:pPr>
        <w:spacing w:after="120" w:before="0" w:line="276"/>
      </w:pPr>
      <w:r>
        <w:rPr>
          <w:b/>
          <w:bCs/>
        </w:rPr>
        <w:t xml:space="preserve">Refusal signal: </w:t>
      </w:r>
      <w:r>
        <w:t xml:space="preserve">the reranker’s 0–10 score doubles as the “I don’t know” trigger. If the best candidate scores below MIN_RELEVANCE_SCORE (3), nothing in the corpus is actually relevant, so the pipeline declines instead of hallucinating.</w:t>
      </w:r>
    </w:p>
    <w:p>
      <w:pPr>
        <w:spacing w:after="80"/>
      </w:pPr>
    </w:p>
    <w:p>
      <w:pPr>
        <w:pStyle w:val="Heading3"/>
      </w:pPr>
      <w:r>
        <w:t xml:space="preserve">System Prompt</w:t>
      </w:r>
    </w:p>
    <w:p>
      <w:pPr>
        <w:pBdr>
          <w:left w:val="single" w:color="1F4E79" w:sz="12" w:space="8"/>
        </w:pBdr>
        <w:shd w:fill="F4F4F4" w:val="clear"/>
        <w:spacing w:after="60" w:before="60" w:line="264"/>
      </w:pPr>
      <w:r>
        <w:rPr>
          <w:rFonts w:ascii="Consolas" w:cs="Consolas" w:eastAsia="Consolas" w:hAnsi="Consolas"/>
          <w:sz w:val="19"/>
          <w:szCs w:val="19"/>
        </w:rPr>
        <w:t xml:space="preserve">You are an insurance underwriting assistant. Your job is to answer questions about HO3/HO5 homeowners insurance guidelines based only on the provided context excerpts. Answer only from the provided context; always cite the source document (filename) for every claim; if the context does not contain enough information, say exactly: “I don’t have enough information in the guidelines to answer this question.” Keep answers concise and factual, use bullet points for lists of conditions, and include the section reference when visible.</w:t>
      </w:r>
    </w:p>
    <w:p>
      <w:pPr>
        <w:pStyle w:val="Heading2"/>
        <w:pageBreakBefore/>
      </w:pPr>
      <w:r>
        <w:t xml:space="preserve">3.2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File / Folder</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Purpose</w:t>
            </w:r>
          </w:p>
        </w:tc>
      </w:tr>
      <w:tr>
        <w:tc>
          <w:tcPr>
            <w:tcW w:type="dxa" w:w="3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data/guidelines/*.md</w:t>
            </w:r>
          </w:p>
        </w:tc>
        <w:tc>
          <w:tcPr>
            <w:tcW w:type="dxa" w:w="63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5 HO3/HO5 underwriting guideline documents (input corpus)</w:t>
            </w:r>
          </w:p>
        </w:tc>
      </w:tr>
      <w:tr>
        <w:tc>
          <w:tcPr>
            <w:tcW w:type="dxa" w:w="3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data/eval_questions.json</w:t>
            </w:r>
          </w:p>
        </w:tc>
        <w:tc>
          <w:tcPr>
            <w:tcW w:type="dxa" w:w="63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15 answerable + 3 unanswerable evaluation questions</w:t>
            </w:r>
          </w:p>
        </w:tc>
      </w:tr>
      <w:tr>
        <w:tc>
          <w:tcPr>
            <w:tcW w:type="dxa" w:w="3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chunking.py</w:t>
            </w:r>
          </w:p>
        </w:tc>
        <w:tc>
          <w:tcPr>
            <w:tcW w:type="dxa" w:w="63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Shared chunking strategies (fixed / paragraph) used by ingest + retriever</w:t>
            </w:r>
          </w:p>
        </w:tc>
      </w:tr>
      <w:tr>
        <w:tc>
          <w:tcPr>
            <w:tcW w:type="dxa" w:w="3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nebius.py</w:t>
            </w:r>
          </w:p>
        </w:tc>
        <w:tc>
          <w:tcPr>
            <w:tcW w:type="dxa" w:w="63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Nebius Token Factory client factory (OpenAI-compatible)</w:t>
            </w:r>
          </w:p>
        </w:tc>
      </w:tr>
      <w:tr>
        <w:tc>
          <w:tcPr>
            <w:tcW w:type="dxa" w:w="3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ingest.py</w:t>
            </w:r>
          </w:p>
        </w:tc>
        <w:tc>
          <w:tcPr>
            <w:tcW w:type="dxa" w:w="63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Chunk + embed + upsert both namespaces to Pinecone</w:t>
            </w:r>
          </w:p>
        </w:tc>
      </w:tr>
      <w:tr>
        <w:tc>
          <w:tcPr>
            <w:tcW w:type="dxa" w:w="3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retriever.py</w:t>
            </w:r>
          </w:p>
        </w:tc>
        <w:tc>
          <w:tcPr>
            <w:tcW w:type="dxa" w:w="63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Hybrid BM25 + dense retrieval with RRF (+ optional rerank)</w:t>
            </w:r>
          </w:p>
        </w:tc>
      </w:tr>
      <w:tr>
        <w:tc>
          <w:tcPr>
            <w:tcW w:type="dxa" w:w="3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reranker.py</w:t>
            </w:r>
          </w:p>
        </w:tc>
        <w:tc>
          <w:tcPr>
            <w:tcW w:type="dxa" w:w="63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LLM reranker via Nebius + relevance refusal threshold</w:t>
            </w:r>
          </w:p>
        </w:tc>
      </w:tr>
      <w:tr>
        <w:tc>
          <w:tcPr>
            <w:tcW w:type="dxa" w:w="3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rag.py</w:t>
            </w:r>
          </w:p>
        </w:tc>
        <w:tc>
          <w:tcPr>
            <w:tcW w:type="dxa" w:w="63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Full Q&amp;A pipeline (retrieve → generate → cite) with fallback</w:t>
            </w:r>
          </w:p>
        </w:tc>
      </w:tr>
      <w:tr>
        <w:tc>
          <w:tcPr>
            <w:tcW w:type="dxa" w:w="3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app.py</w:t>
            </w:r>
          </w:p>
        </w:tc>
        <w:tc>
          <w:tcPr>
            <w:tcW w:type="dxa" w:w="63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Streamlit chat UI over the pipeline</w:t>
            </w:r>
          </w:p>
        </w:tc>
      </w:tr>
      <w:tr>
        <w:tc>
          <w:tcPr>
            <w:tcW w:type="dxa" w:w="3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eval.py</w:t>
            </w:r>
          </w:p>
        </w:tc>
        <w:tc>
          <w:tcPr>
            <w:tcW w:type="dxa" w:w="63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Chunking × rerank matrix + e2e + refusal → comparison_report.md</w:t>
            </w:r>
          </w:p>
        </w:tc>
      </w:tr>
      <w:tr>
        <w:tc>
          <w:tcPr>
            <w:tcW w:type="dxa" w:w="3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comparison_report.md</w:t>
            </w:r>
          </w:p>
        </w:tc>
        <w:tc>
          <w:tcPr>
            <w:tcW w:type="dxa" w:w="63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Generated evaluation report (committed deliverable)</w:t>
            </w:r>
          </w:p>
        </w:tc>
      </w:tr>
      <w:tr>
        <w:tc>
          <w:tcPr>
            <w:tcW w:type="dxa" w:w="3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pyproject.toml</w:t>
            </w:r>
          </w:p>
        </w:tc>
        <w:tc>
          <w:tcPr>
            <w:tcW w:type="dxa" w:w="63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Python dependencies</w:t>
            </w:r>
          </w:p>
        </w:tc>
      </w:tr>
      <w:tr>
        <w:tc>
          <w:tcPr>
            <w:tcW w:type="dxa" w:w="3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.env.example</w:t>
            </w:r>
          </w:p>
        </w:tc>
        <w:tc>
          <w:tcPr>
            <w:tcW w:type="dxa" w:w="63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Environment template (OpenAI + Nebius + Pinecone)</w:t>
            </w:r>
          </w:p>
        </w:tc>
      </w:tr>
      <w:tr>
        <w:tc>
          <w:tcPr>
            <w:tcW w:type="dxa" w:w="3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.gitignore</w:t>
            </w:r>
          </w:p>
        </w:tc>
        <w:tc>
          <w:tcPr>
            <w:tcW w:type="dxa" w:w="63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Excludes .env, caches, eval_report.md</w:t>
            </w:r>
          </w:p>
        </w:tc>
      </w:tr>
    </w:tbl>
    <w:p>
      <w:pPr>
        <w:pStyle w:val="Heading2"/>
        <w:pageBreakBefore/>
      </w:pPr>
      <w:r>
        <w:t xml:space="preserve">3.3 Setup and Running</w:t>
      </w:r>
    </w:p>
    <w:p>
      <w:pPr>
        <w:pStyle w:val="Heading3"/>
      </w:pPr>
      <w:r>
        <w:t xml:space="preserve">Installation</w:t>
      </w:r>
    </w:p>
    <w:p>
      <w:pPr>
        <w:pStyle w:val="ListParagraph"/>
        <w:numPr>
          <w:ilvl w:val="0"/>
          <w:numId w:val="2"/>
        </w:numPr>
        <w:spacing w:after="60" w:line="270"/>
      </w:pPr>
      <w:r>
        <w:t xml:space="preserve">Python 3.12+</w:t>
      </w:r>
    </w:p>
    <w:p>
      <w:pPr>
        <w:pStyle w:val="ListParagraph"/>
        <w:numPr>
          <w:ilvl w:val="0"/>
          <w:numId w:val="2"/>
        </w:numPr>
        <w:spacing w:after="60" w:line="270"/>
      </w:pPr>
      <w:r>
        <w:t xml:space="preserve">OpenAI API key (embeddings)</w:t>
      </w:r>
    </w:p>
    <w:p>
      <w:pPr>
        <w:pStyle w:val="ListParagraph"/>
        <w:numPr>
          <w:ilvl w:val="0"/>
          <w:numId w:val="2"/>
        </w:numPr>
        <w:spacing w:after="60" w:line="270"/>
      </w:pPr>
      <w:r>
        <w:t xml:space="preserve">Nebius Token Factory account + API key — https://studio.nebius.com (generation + reranking)</w:t>
      </w:r>
    </w:p>
    <w:p>
      <w:pPr>
        <w:pStyle w:val="ListParagraph"/>
        <w:numPr>
          <w:ilvl w:val="0"/>
          <w:numId w:val="2"/>
        </w:numPr>
        <w:spacing w:after="60" w:line="270"/>
      </w:pPr>
      <w:r>
        <w:t xml:space="preserve">Pinecone account (free tier); index auto-created at dimension 1536, cosine</w:t>
      </w:r>
    </w:p>
    <w:p>
      <w:pPr>
        <w:shd w:fill="F4F4F4" w:val="clear"/>
        <w:spacing w:after="80" w:before="80" w:line="264"/>
      </w:pPr>
      <w:r>
        <w:rPr>
          <w:rFonts w:ascii="Consolas" w:cs="Consolas" w:eastAsia="Consolas" w:hAnsi="Consolas"/>
          <w:sz w:val="19"/>
          <w:szCs w:val="19"/>
        </w:rPr>
        <w:t xml:space="preserve">python -m venv .venv &amp;&amp; source .venv/bin/activate</w:t>
      </w:r>
      <w:r>
        <w:rPr>
          <w:rFonts w:ascii="Consolas" w:cs="Consolas" w:eastAsia="Consolas" w:hAnsi="Consolas"/>
          <w:sz w:val="19"/>
          <w:szCs w:val="19"/>
        </w:rPr>
        <w:br/>
        <w:t xml:space="preserve">pip install -e .</w:t>
      </w:r>
      <w:r>
        <w:rPr>
          <w:rFonts w:ascii="Consolas" w:cs="Consolas" w:eastAsia="Consolas" w:hAnsi="Consolas"/>
          <w:sz w:val="19"/>
          <w:szCs w:val="19"/>
        </w:rPr>
        <w:br/>
        <w:t xml:space="preserve">cp .env.example .env   # then fill in OPENAI_API_KEY, NEBIUS_API_KEY, PINECONE_API_KEY</w:t>
      </w:r>
    </w:p>
    <w:p>
      <w:pPr>
        <w:pStyle w:val="Heading3"/>
      </w:pPr>
      <w:r>
        <w:t xml:space="preserve">Run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4600"/>
      </w:tblGrid>
      <w:tr>
        <w:trPr>
          <w:tblHeader/>
        </w:trP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Step</w:t>
            </w:r>
          </w:p>
        </w:tc>
        <w:tc>
          <w:tcPr>
            <w:tcW w:type="dxa" w:w="3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Command</w:t>
            </w:r>
          </w:p>
        </w:tc>
        <w:tc>
          <w:tcPr>
            <w:tcW w:type="dxa" w:w="4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What It Does</w:t>
            </w:r>
          </w:p>
        </w:tc>
      </w:tr>
      <w:tr>
        <w:tc>
          <w:tcPr>
            <w:tcW w:type="dxa" w:w="8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1</w:t>
            </w:r>
          </w:p>
        </w:tc>
        <w:tc>
          <w:tcPr>
            <w:tcW w:type="dxa" w:w="39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python ingest.py</w:t>
            </w:r>
          </w:p>
        </w:tc>
        <w:tc>
          <w:tcPr>
            <w:tcW w:type="dxa" w:w="46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Chunks, embeds, and upserts both namespaces to Pinecone</w:t>
            </w:r>
          </w:p>
        </w:tc>
      </w:tr>
      <w:tr>
        <w:tc>
          <w:tcPr>
            <w:tcW w:type="dxa" w:w="8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2</w:t>
            </w:r>
          </w:p>
        </w:tc>
        <w:tc>
          <w:tcPr>
            <w:tcW w:type="dxa" w:w="39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python rag.py "&lt;question&gt;"</w:t>
            </w:r>
          </w:p>
        </w:tc>
        <w:tc>
          <w:tcPr>
            <w:tcW w:type="dxa" w:w="46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Single-question CLI sanity test (cited answer + sources)</w:t>
            </w:r>
          </w:p>
        </w:tc>
      </w:tr>
      <w:tr>
        <w:tc>
          <w:tcPr>
            <w:tcW w:type="dxa" w:w="8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3</w:t>
            </w:r>
          </w:p>
        </w:tc>
        <w:tc>
          <w:tcPr>
            <w:tcW w:type="dxa" w:w="39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python retriever.py [--no-rerank] "&lt;q&gt;"</w:t>
            </w:r>
          </w:p>
        </w:tc>
        <w:tc>
          <w:tcPr>
            <w:tcW w:type="dxa" w:w="46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Inspect raw retrieval, with or without reranking</w:t>
            </w:r>
          </w:p>
        </w:tc>
      </w:tr>
      <w:tr>
        <w:tc>
          <w:tcPr>
            <w:tcW w:type="dxa" w:w="8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4</w:t>
            </w:r>
          </w:p>
        </w:tc>
        <w:tc>
          <w:tcPr>
            <w:tcW w:type="dxa" w:w="39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python eval.py</w:t>
            </w:r>
          </w:p>
        </w:tc>
        <w:tc>
          <w:tcPr>
            <w:tcW w:type="dxa" w:w="46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Full 18-question eval → writes comparison_report.md</w:t>
            </w:r>
          </w:p>
        </w:tc>
      </w:tr>
      <w:tr>
        <w:tc>
          <w:tcPr>
            <w:tcW w:type="dxa" w:w="8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UI</w:t>
            </w:r>
          </w:p>
        </w:tc>
        <w:tc>
          <w:tcPr>
            <w:tcW w:type="dxa" w:w="39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streamlit run app.py</w:t>
            </w:r>
          </w:p>
        </w:tc>
        <w:tc>
          <w:tcPr>
            <w:tcW w:type="dxa" w:w="46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Launches the interactive chat interface</w:t>
            </w:r>
          </w:p>
        </w:tc>
      </w:tr>
    </w:tbl>
    <w:p>
      <w:pPr>
        <w:pStyle w:val="Heading2"/>
        <w:pageBreakBefore/>
      </w:pPr>
      <w:r>
        <w:t xml:space="preserve">3.4 Evaluation Results</w:t>
      </w:r>
    </w:p>
    <w:p>
      <w:pPr>
        <w:spacing w:after="120" w:before="0" w:line="276"/>
      </w:pPr>
      <w:r>
        <w:t xml:space="preserve">Evaluated across 15 answerable questions (numeric lookups, eligibility rules, hazard/endorsement guidance, multi-document reasoning) plus 3 deliberate out-of-corpus refusal tests. Two metrics are scored: retrieval recall@5 (did the expected source document appear in the retrieved chunks?) and answer relevance (expected keywords present). A refusal is correct when the system declines an out-of-corpus question.</w:t>
      </w:r>
    </w:p>
    <w:p>
      <w:pPr>
        <w:pStyle w:val="Heading3"/>
      </w:pPr>
      <w:r>
        <w:t xml:space="preserve">Retrieval Quality Matrix (recall@5)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200"/>
        <w:gridCol w:w="20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Condition</w:t>
            </w:r>
          </w:p>
        </w:tc>
        <w:tc>
          <w:tcPr>
            <w:tcW w:type="dxa" w:w="3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Chunking</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Reranker</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Recall@5</w:t>
            </w:r>
          </w:p>
        </w:tc>
      </w:tr>
      <w:tr>
        <w:tc>
          <w:tcPr>
            <w:tcW w:type="dxa" w:w="2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A</w:t>
            </w:r>
          </w:p>
        </w:tc>
        <w:tc>
          <w:tcPr>
            <w:tcW w:type="dxa" w:w="31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Paragraph</w:t>
            </w:r>
          </w:p>
        </w:tc>
        <w:tc>
          <w:tcPr>
            <w:tcW w:type="dxa" w:w="2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No</w:t>
            </w:r>
          </w:p>
        </w:tc>
        <w:tc>
          <w:tcPr>
            <w:tcW w:type="dxa" w:w="2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100%</w:t>
            </w:r>
          </w:p>
        </w:tc>
      </w:tr>
      <w:tr>
        <w:tc>
          <w:tcPr>
            <w:tcW w:type="dxa" w:w="2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B</w:t>
            </w:r>
          </w:p>
        </w:tc>
        <w:tc>
          <w:tcPr>
            <w:tcW w:type="dxa" w:w="31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Paragraph</w:t>
            </w:r>
          </w:p>
        </w:tc>
        <w:tc>
          <w:tcPr>
            <w:tcW w:type="dxa" w:w="2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Yes</w:t>
            </w:r>
          </w:p>
        </w:tc>
        <w:tc>
          <w:tcPr>
            <w:tcW w:type="dxa" w:w="2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100%</w:t>
            </w:r>
          </w:p>
        </w:tc>
      </w:tr>
      <w:tr>
        <w:tc>
          <w:tcPr>
            <w:tcW w:type="dxa" w:w="2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C</w:t>
            </w:r>
          </w:p>
        </w:tc>
        <w:tc>
          <w:tcPr>
            <w:tcW w:type="dxa" w:w="31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Fixed</w:t>
            </w:r>
          </w:p>
        </w:tc>
        <w:tc>
          <w:tcPr>
            <w:tcW w:type="dxa" w:w="2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No</w:t>
            </w:r>
          </w:p>
        </w:tc>
        <w:tc>
          <w:tcPr>
            <w:tcW w:type="dxa" w:w="2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100%</w:t>
            </w:r>
          </w:p>
        </w:tc>
      </w:tr>
      <w:tr>
        <w:tc>
          <w:tcPr>
            <w:tcW w:type="dxa" w:w="2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D</w:t>
            </w:r>
          </w:p>
        </w:tc>
        <w:tc>
          <w:tcPr>
            <w:tcW w:type="dxa" w:w="31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Fixed</w:t>
            </w:r>
          </w:p>
        </w:tc>
        <w:tc>
          <w:tcPr>
            <w:tcW w:type="dxa" w:w="2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Yes</w:t>
            </w:r>
          </w:p>
        </w:tc>
        <w:tc>
          <w:tcPr>
            <w:tcW w:type="dxa" w:w="2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100%</w:t>
            </w:r>
          </w:p>
        </w:tc>
      </w:tr>
    </w:tbl>
    <w:p>
      <w:pPr>
        <w:spacing w:after="80"/>
      </w:pPr>
    </w:p>
    <w:p>
      <w:pPr>
        <w:pStyle w:val="Heading3"/>
      </w:pPr>
      <w:r>
        <w:t xml:space="preserve">End-to-End Answers (config: Paragraph + Rerank)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Metric</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Result</w:t>
            </w:r>
          </w:p>
        </w:tc>
      </w:tr>
      <w:tr>
        <w:tc>
          <w:tcPr>
            <w:tcW w:type="dxa" w:w="56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Answer relevance (keyword match)</w:t>
            </w:r>
          </w:p>
        </w:tc>
        <w:tc>
          <w:tcPr>
            <w:tcW w:type="dxa" w:w="3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15 / 15 (100%)</w:t>
            </w:r>
          </w:p>
        </w:tc>
      </w:tr>
      <w:tr>
        <w:tc>
          <w:tcPr>
            <w:tcW w:type="dxa" w:w="56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Retrieval recall (source match)</w:t>
            </w:r>
          </w:p>
        </w:tc>
        <w:tc>
          <w:tcPr>
            <w:tcW w:type="dxa" w:w="37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15 / 15 (100%)</w:t>
            </w:r>
          </w:p>
        </w:tc>
      </w:tr>
      <w:tr>
        <w:tc>
          <w:tcPr>
            <w:tcW w:type="dxa" w:w="56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Refusal correctness (unanswerable → “I don’t know”)</w:t>
            </w:r>
          </w:p>
        </w:tc>
        <w:tc>
          <w:tcPr>
            <w:tcW w:type="dxa" w:w="3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3 / 3 (100%)</w:t>
            </w:r>
          </w:p>
        </w:tc>
      </w:tr>
      <w:tr>
        <w:tc>
          <w:tcPr>
            <w:tcW w:type="dxa" w:w="56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Latency (single question, retrieve + rerank + generate)</w:t>
            </w:r>
          </w:p>
        </w:tc>
        <w:tc>
          <w:tcPr>
            <w:tcW w:type="dxa" w:w="37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&lt; 15 seconds</w:t>
            </w:r>
          </w:p>
        </w:tc>
      </w:tr>
    </w:tbl>
    <w:p>
      <w:pPr>
        <w:spacing w:after="80"/>
      </w:pPr>
    </w:p>
    <w:p>
      <w:pPr>
        <w:pStyle w:val="Heading3"/>
      </w:pPr>
      <w:r>
        <w:t xml:space="preserve">Key Findings</w:t>
      </w:r>
    </w:p>
    <w:p>
      <w:pPr>
        <w:pStyle w:val="ListParagraph"/>
        <w:numPr>
          <w:ilvl w:val="0"/>
          <w:numId w:val="2"/>
        </w:numPr>
        <w:spacing w:after="60" w:line="270"/>
      </w:pPr>
      <w:r>
        <w:rPr>
          <w:b/>
          <w:bCs/>
        </w:rPr>
        <w:t xml:space="preserve">Both chunking strategies hit 100% recall@5 </w:t>
      </w:r>
      <w:r>
        <w:t xml:space="preserve">on this corpus. The corpus is small and well-structured, and hybrid retrieval (dense + BM25 + RRF) reliably surfaces the correct source document. On a larger, noisier corpus the matrix would separate the strategies; paragraph chunking preserves section boundaries and is the chosen default.</w:t>
      </w:r>
    </w:p>
    <w:p>
      <w:pPr>
        <w:pStyle w:val="ListParagraph"/>
        <w:numPr>
          <w:ilvl w:val="0"/>
          <w:numId w:val="2"/>
        </w:numPr>
        <w:spacing w:after="60" w:line="270"/>
      </w:pPr>
      <w:r>
        <w:rPr>
          <w:b/>
          <w:bCs/>
        </w:rPr>
        <w:t xml:space="preserve">Reranking did not raise recall here </w:t>
      </w:r>
      <w:r>
        <w:t xml:space="preserve">(already at the ceiling), but it is essential for the refusal path — the reranker’s 0–10 relevance score is the signal that lets the system decline out-of-corpus questions instead of hallucinating.</w:t>
      </w:r>
    </w:p>
    <w:p>
      <w:pPr>
        <w:pStyle w:val="ListParagraph"/>
        <w:numPr>
          <w:ilvl w:val="0"/>
          <w:numId w:val="2"/>
        </w:numPr>
        <w:spacing w:after="60" w:line="270"/>
      </w:pPr>
      <w:r>
        <w:rPr>
          <w:b/>
          <w:bCs/>
        </w:rPr>
        <w:t xml:space="preserve">Refusal test passed: </w:t>
      </w:r>
      <w:r>
        <w:t xml:space="preserve">all 3 out-of-corpus questions (whole-life cash surrender value, auto-insurance claim, CEO contact details) scored top relevance 0.0 and returned the exact refusal string.</w:t>
      </w:r>
    </w:p>
    <w:p>
      <w:pPr>
        <w:pStyle w:val="ListParagraph"/>
        <w:numPr>
          <w:ilvl w:val="0"/>
          <w:numId w:val="2"/>
        </w:numPr>
        <w:spacing w:after="60" w:line="270"/>
      </w:pPr>
      <w:r>
        <w:rPr>
          <w:b/>
          <w:bCs/>
        </w:rPr>
        <w:t xml:space="preserve">Faithfulness: </w:t>
      </w:r>
      <w:r>
        <w:t xml:space="preserve">answers consistently cite the source filename and section (e.g., §1.2) and stay grounded in retrieved excerpts — matching the handout’s emphasis on faithfulness over surface relevance.</w:t>
      </w:r>
    </w:p>
    <w:p>
      <w:pPr>
        <w:pStyle w:val="Heading2"/>
        <w:pageBreakBefore/>
      </w:pPr>
      <w:r>
        <w:t xml:space="preserve">3.5 Streamlit Chat UI</w:t>
      </w:r>
    </w:p>
    <w:p>
      <w:pPr>
        <w:spacing w:after="120" w:before="0" w:line="276"/>
      </w:pPr>
      <w:r>
        <w:rPr>
          <w:b/>
          <w:bCs/>
        </w:rPr>
        <w:t xml:space="preserve">Launch: </w:t>
      </w:r>
      <w:r>
        <w:rPr>
          <w:rFonts w:ascii="Consolas" w:cs="Consolas" w:eastAsia="Consolas" w:hAnsi="Consolas"/>
        </w:rPr>
        <w:t xml:space="preserve">streamlit run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Feature</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Detail</w:t>
            </w:r>
          </w:p>
        </w:tc>
      </w:tr>
      <w:tr>
        <w:tc>
          <w:tcPr>
            <w:tcW w:type="dxa" w:w="26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Chat history</w:t>
            </w:r>
          </w:p>
        </w:tc>
        <w:tc>
          <w:tcPr>
            <w:tcW w:type="dxa" w:w="6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Full conversation preserved within the session</w:t>
            </w:r>
          </w:p>
        </w:tc>
      </w:tr>
      <w:tr>
        <w:tc>
          <w:tcPr>
            <w:tcW w:type="dxa" w:w="26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Strategy selector</w:t>
            </w:r>
          </w:p>
        </w:tc>
        <w:tc>
          <w:tcPr>
            <w:tcW w:type="dxa" w:w="67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Sidebar radio: paragraph / fixed — queries the matching Pinecone namespace</w:t>
            </w:r>
          </w:p>
        </w:tc>
      </w:tr>
      <w:tr>
        <w:tc>
          <w:tcPr>
            <w:tcW w:type="dxa" w:w="26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Reranker toggle</w:t>
            </w:r>
          </w:p>
        </w:tc>
        <w:tc>
          <w:tcPr>
            <w:tcW w:type="dxa" w:w="6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Enable or disable the Nebius LLM reranker per query</w:t>
            </w:r>
          </w:p>
        </w:tc>
      </w:tr>
      <w:tr>
        <w:tc>
          <w:tcPr>
            <w:tcW w:type="dxa" w:w="26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Retrieved context</w:t>
            </w:r>
          </w:p>
        </w:tc>
        <w:tc>
          <w:tcPr>
            <w:tcW w:type="dxa" w:w="67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Expandable panel shows each chunk with its source, rerank relevance score (0–10), and dense/sparse origin</w:t>
            </w:r>
          </w:p>
        </w:tc>
      </w:tr>
      <w:tr>
        <w:tc>
          <w:tcPr>
            <w:tcW w:type="dxa" w:w="26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Refusal indicator</w:t>
            </w:r>
          </w:p>
        </w:tc>
        <w:tc>
          <w:tcPr>
            <w:tcW w:type="dxa" w:w="6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Out-of-corpus questions render a warning banner instead of a fabricated answer</w:t>
            </w:r>
          </w:p>
        </w:tc>
      </w:tr>
      <w:tr>
        <w:tc>
          <w:tcPr>
            <w:tcW w:type="dxa" w:w="26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Pipeline caching</w:t>
            </w:r>
          </w:p>
        </w:tc>
        <w:tc>
          <w:tcPr>
            <w:tcW w:type="dxa" w:w="67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@st.cache_resource caches the retriever per namespace and the reranker across reruns</w:t>
            </w:r>
          </w:p>
        </w:tc>
      </w:tr>
    </w:tbl>
    <w:p>
      <w:pPr>
        <w:pStyle w:val="Heading2"/>
        <w:pageBreakBefore/>
      </w:pPr>
      <w:r>
        <w:t xml:space="preserve">3.6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Decision</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Choice</w:t>
            </w:r>
          </w:p>
        </w:tc>
        <w:tc>
          <w:tcPr>
            <w:tcW w:type="dxa" w:w="4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Rationale</w:t>
            </w:r>
          </w:p>
        </w:tc>
      </w:tr>
      <w:tr>
        <w:tc>
          <w:tcPr>
            <w:tcW w:type="dxa" w:w="21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Vector store</w:t>
            </w:r>
          </w:p>
        </w:tc>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Pinecone (serverless)</w:t>
            </w:r>
          </w:p>
        </w:tc>
        <w:tc>
          <w:tcPr>
            <w:tcW w:type="dxa" w:w="40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Hosted, no local DB; namespaces cleanly separate the two chunking strategies in one index.</w:t>
            </w:r>
          </w:p>
        </w:tc>
      </w:tr>
      <w:tr>
        <w:tc>
          <w:tcPr>
            <w:tcW w:type="dxa" w:w="21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Embedding model</w:t>
            </w:r>
          </w:p>
        </w:tc>
        <w:tc>
          <w:tcPr>
            <w:tcW w:type="dxa" w:w="3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OpenAI text-embedding-3-small (1536-dim)</w:t>
            </w:r>
          </w:p>
        </w:tc>
        <w:tc>
          <w:tcPr>
            <w:tcW w:type="dxa" w:w="40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Strong and cheap; matches the index dimension. Kept on OpenAI so the 1536-dim index is stable — the Nebius requirement is met by generation + reranking.</w:t>
            </w:r>
          </w:p>
        </w:tc>
      </w:tr>
      <w:tr>
        <w:tc>
          <w:tcPr>
            <w:tcW w:type="dxa" w:w="21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LLM</w:t>
            </w:r>
          </w:p>
        </w:tc>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meta-llama/Llama-3.3-70B-Instruct via Nebius</w:t>
            </w:r>
          </w:p>
        </w:tc>
        <w:tc>
          <w:tcPr>
            <w:tcW w:type="dxa" w:w="40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Required Nebius Token Factory call; strong instruction-following for cited answers; temp=0 for deterministic grading.</w:t>
            </w:r>
          </w:p>
        </w:tc>
      </w:tr>
      <w:tr>
        <w:tc>
          <w:tcPr>
            <w:tcW w:type="dxa" w:w="21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Reranker</w:t>
            </w:r>
          </w:p>
        </w:tc>
        <w:tc>
          <w:tcPr>
            <w:tcW w:type="dxa" w:w="3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LLM reranker (Nebius), not a local cross-encoder</w:t>
            </w:r>
          </w:p>
        </w:tc>
        <w:tc>
          <w:tcPr>
            <w:tcW w:type="dxa" w:w="40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No heavy torch/sentence-transformers dependency; reuses Nebius infra; yields a 0–10 relevance score that doubles as the refusal signal.</w:t>
            </w:r>
          </w:p>
        </w:tc>
      </w:tr>
      <w:tr>
        <w:tc>
          <w:tcPr>
            <w:tcW w:type="dxa" w:w="21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BM25 storage</w:t>
            </w:r>
          </w:p>
        </w:tc>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In-memory at query time</w:t>
            </w:r>
          </w:p>
        </w:tc>
        <w:tc>
          <w:tcPr>
            <w:tcW w:type="dxa" w:w="40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Tiny corpus (27 / 47 chunks). Chunked per strategy to match the dense side, keeping the comparison fair.</w:t>
            </w:r>
          </w:p>
        </w:tc>
      </w:tr>
      <w:tr>
        <w:tc>
          <w:tcPr>
            <w:tcW w:type="dxa" w:w="21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Refusal logic</w:t>
            </w:r>
          </w:p>
        </w:tc>
        <w:tc>
          <w:tcPr>
            <w:tcW w:type="dxa" w:w="3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Top rerank score &lt; 3 → decline</w:t>
            </w:r>
          </w:p>
        </w:tc>
        <w:tc>
          <w:tcPr>
            <w:tcW w:type="dxa" w:w="40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A real “I don’t know” signal, replacing a chunk-count threshold that never fired in practice.</w:t>
            </w:r>
          </w:p>
        </w:tc>
      </w:tr>
    </w:tbl>
    <w:p>
      <w:pPr>
        <w:pStyle w:val="Heading2"/>
        <w:pageBreakBefore/>
      </w:pPr>
      <w:r>
        <w:t xml:space="preserve">3.7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Setting</w:t>
            </w:r>
          </w:p>
        </w:tc>
        <w:tc>
          <w:tcPr>
            <w:tcW w:type="dxa" w:w="3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Default</w:t>
            </w:r>
          </w:p>
        </w:tc>
        <w:tc>
          <w:tcPr>
            <w:tcW w:type="dxa" w:w="2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Description</w:t>
            </w:r>
          </w:p>
        </w:tc>
      </w:tr>
      <w:t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EMBEDDING_MODEL</w:t>
            </w:r>
          </w:p>
        </w:tc>
        <w:tc>
          <w:tcPr>
            <w:tcW w:type="dxa" w:w="34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text-embedding-3-small</w:t>
            </w:r>
          </w:p>
        </w:tc>
        <w:tc>
          <w:tcPr>
            <w:tcW w:type="dxa" w:w="2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OpenAI embedding model (1536-dim)</w:t>
            </w:r>
          </w:p>
        </w:tc>
      </w:tr>
      <w:tr>
        <w:tc>
          <w:tcPr>
            <w:tcW w:type="dxa" w:w="3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NEBIUS_GENERATION_MODEL</w:t>
            </w:r>
          </w:p>
        </w:tc>
        <w:tc>
          <w:tcPr>
            <w:tcW w:type="dxa" w:w="34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meta-llama/Llama-3.3-70B-Instruct</w:t>
            </w:r>
          </w:p>
        </w:tc>
        <w:tc>
          <w:tcPr>
            <w:tcW w:type="dxa" w:w="27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LLM for answer generation (Nebius)</w:t>
            </w:r>
          </w:p>
        </w:tc>
      </w:tr>
      <w:t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NEBIUS_RERANK_MODEL</w:t>
            </w:r>
          </w:p>
        </w:tc>
        <w:tc>
          <w:tcPr>
            <w:tcW w:type="dxa" w:w="34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meta-llama/Llama-3.3-70B-Instruct</w:t>
            </w:r>
          </w:p>
        </w:tc>
        <w:tc>
          <w:tcPr>
            <w:tcW w:type="dxa" w:w="2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LLM used for reranking (Nebius)</w:t>
            </w:r>
          </w:p>
        </w:tc>
      </w:tr>
      <w:tr>
        <w:tc>
          <w:tcPr>
            <w:tcW w:type="dxa" w:w="3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NEBIUS_BASE_URL</w:t>
            </w:r>
          </w:p>
        </w:tc>
        <w:tc>
          <w:tcPr>
            <w:tcW w:type="dxa" w:w="34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https://api.studio.nebius.com/v1/</w:t>
            </w:r>
          </w:p>
        </w:tc>
        <w:tc>
          <w:tcPr>
            <w:tcW w:type="dxa" w:w="27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Nebius OpenAI-compatible endpoint</w:t>
            </w:r>
          </w:p>
        </w:tc>
      </w:tr>
      <w:t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PINECONE_INDEX_NAME</w:t>
            </w:r>
          </w:p>
        </w:tc>
        <w:tc>
          <w:tcPr>
            <w:tcW w:type="dxa" w:w="34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insurance-rag</w:t>
            </w:r>
          </w:p>
        </w:tc>
        <w:tc>
          <w:tcPr>
            <w:tcW w:type="dxa" w:w="2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Pinecone index (dimension 1536, cosine)</w:t>
            </w:r>
          </w:p>
        </w:tc>
      </w:tr>
      <w:tr>
        <w:tc>
          <w:tcPr>
            <w:tcW w:type="dxa" w:w="3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TOP_K</w:t>
            </w:r>
          </w:p>
        </w:tc>
        <w:tc>
          <w:tcPr>
            <w:tcW w:type="dxa" w:w="34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5</w:t>
            </w:r>
          </w:p>
        </w:tc>
        <w:tc>
          <w:tcPr>
            <w:tcW w:type="dxa" w:w="27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Chunks passed to the LLM after reranking</w:t>
            </w:r>
          </w:p>
        </w:tc>
      </w:tr>
      <w:t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CANDIDATE_K</w:t>
            </w:r>
          </w:p>
        </w:tc>
        <w:tc>
          <w:tcPr>
            <w:tcW w:type="dxa" w:w="34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10</w:t>
            </w:r>
          </w:p>
        </w:tc>
        <w:tc>
          <w:tcPr>
            <w:tcW w:type="dxa" w:w="2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Fused candidate-pool size fed into the reranker</w:t>
            </w:r>
          </w:p>
        </w:tc>
      </w:tr>
      <w:tr>
        <w:tc>
          <w:tcPr>
            <w:tcW w:type="dxa" w:w="3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RRF_K</w:t>
            </w:r>
          </w:p>
        </w:tc>
        <w:tc>
          <w:tcPr>
            <w:tcW w:type="dxa" w:w="34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60</w:t>
            </w:r>
          </w:p>
        </w:tc>
        <w:tc>
          <w:tcPr>
            <w:tcW w:type="dxa" w:w="27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Reciprocal Rank Fusion constant</w:t>
            </w:r>
          </w:p>
        </w:tc>
      </w:tr>
      <w:t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MIN_RELEVANCE_SCORE</w:t>
            </w:r>
          </w:p>
        </w:tc>
        <w:tc>
          <w:tcPr>
            <w:tcW w:type="dxa" w:w="34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3</w:t>
            </w:r>
          </w:p>
        </w:tc>
        <w:tc>
          <w:tcPr>
            <w:tcW w:type="dxa" w:w="2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Below this top score, the system refuses</w:t>
            </w:r>
          </w:p>
        </w:tc>
      </w:tr>
      <w:tr>
        <w:tc>
          <w:tcPr>
            <w:tcW w:type="dxa" w:w="3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FIXED_CHUNK_SIZE</w:t>
            </w:r>
          </w:p>
        </w:tc>
        <w:tc>
          <w:tcPr>
            <w:tcW w:type="dxa" w:w="34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512</w:t>
            </w:r>
          </w:p>
        </w:tc>
        <w:tc>
          <w:tcPr>
            <w:tcW w:type="dxa" w:w="27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Fixed-strategy chunk size (characters)</w:t>
            </w:r>
          </w:p>
        </w:tc>
      </w:tr>
      <w:t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FIXED_CHUNK_OVERLAP</w:t>
            </w:r>
          </w:p>
        </w:tc>
        <w:tc>
          <w:tcPr>
            <w:tcW w:type="dxa" w:w="34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50</w:t>
            </w:r>
          </w:p>
        </w:tc>
        <w:tc>
          <w:tcPr>
            <w:tcW w:type="dxa" w:w="2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Overlap between adjacent fixed chunks</w:t>
            </w:r>
          </w:p>
        </w:tc>
      </w:tr>
    </w:tbl>
    <w:p>
      <w:pPr>
        <w:pStyle w:val="Heading1"/>
        <w:pageBreakBefore/>
      </w:pPr>
      <w:r>
        <w:t xml:space="preserve">Part 4 — Submission Checklist</w:t>
      </w:r>
    </w:p>
    <w:p>
      <w:pPr>
        <w:spacing w:after="120" w:before="0" w:line="276"/>
      </w:pPr>
      <w:r>
        <w:t xml:space="preserve">Mapping of each Week 2 / Project 2 requirement to where it is satisfied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200"/>
        <w:gridCol w:w="4460"/>
      </w:tblGrid>
      <w:tr>
        <w:trPr>
          <w:tblHeader/>
        </w:trPr>
        <w:tc>
          <w:tcPr>
            <w:tcW w:type="dxa" w:w="3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Requirement</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Status</w:t>
            </w:r>
          </w:p>
        </w:tc>
        <w:tc>
          <w:tcPr>
            <w:tcW w:type="dxa" w:w="4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0" w:line="264"/>
            </w:pPr>
            <w:r>
              <w:rPr>
                <w:b/>
                <w:bCs/>
                <w:color w:val="FFFFFF"/>
              </w:rPr>
              <w:t xml:space="preserve">Where</w:t>
            </w:r>
          </w:p>
        </w:tc>
      </w:tr>
      <w:tr>
        <w:tc>
          <w:tcPr>
            <w:tcW w:type="dxa" w:w="37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Working RAG pipeline over a regulated-document corpus</w:t>
            </w:r>
          </w:p>
        </w:tc>
        <w:tc>
          <w:tcPr>
            <w:tcW w:type="dxa" w:w="1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Met</w:t>
            </w:r>
          </w:p>
        </w:tc>
        <w:tc>
          <w:tcPr>
            <w:tcW w:type="dxa" w:w="44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ingest.py → retriever.py → rag.py; 5-doc HO3/HO5 corpus</w:t>
            </w:r>
          </w:p>
        </w:tc>
      </w:tr>
      <w:tr>
        <w:tc>
          <w:tcPr>
            <w:tcW w:type="dxa" w:w="37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Two chunking strategies compared on the same queries</w:t>
            </w:r>
          </w:p>
        </w:tc>
        <w:tc>
          <w:tcPr>
            <w:tcW w:type="dxa" w:w="1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Met</w:t>
            </w:r>
          </w:p>
        </w:tc>
        <w:tc>
          <w:tcPr>
            <w:tcW w:type="dxa" w:w="44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chunking.py (fixed + paragraph); eval.py recall@5 matrix</w:t>
            </w:r>
          </w:p>
        </w:tc>
      </w:tr>
      <w:tr>
        <w:tc>
          <w:tcPr>
            <w:tcW w:type="dxa" w:w="37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Reranking step + measured impact</w:t>
            </w:r>
          </w:p>
        </w:tc>
        <w:tc>
          <w:tcPr>
            <w:tcW w:type="dxa" w:w="1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Met</w:t>
            </w:r>
          </w:p>
        </w:tc>
        <w:tc>
          <w:tcPr>
            <w:tcW w:type="dxa" w:w="44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reranker.py (LLM reranker); eval.py rerank-on/off ablation</w:t>
            </w:r>
          </w:p>
        </w:tc>
      </w:tr>
      <w:tr>
        <w:tc>
          <w:tcPr>
            <w:tcW w:type="dxa" w:w="37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Nebius Token Factory for ≥ 1 model call</w:t>
            </w:r>
          </w:p>
        </w:tc>
        <w:tc>
          <w:tcPr>
            <w:tcW w:type="dxa" w:w="1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Met</w:t>
            </w:r>
          </w:p>
        </w:tc>
        <w:tc>
          <w:tcPr>
            <w:tcW w:type="dxa" w:w="44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Generation + reranking via Nebius (nebius.py)</w:t>
            </w:r>
          </w:p>
        </w:tc>
      </w:tr>
      <w:tr>
        <w:tc>
          <w:tcPr>
            <w:tcW w:type="dxa" w:w="37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15-question evaluation report with retrieval scores</w:t>
            </w:r>
          </w:p>
        </w:tc>
        <w:tc>
          <w:tcPr>
            <w:tcW w:type="dxa" w:w="1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Met</w:t>
            </w:r>
          </w:p>
        </w:tc>
        <w:tc>
          <w:tcPr>
            <w:tcW w:type="dxa" w:w="44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eval.py → comparison_report.md (15 + 3 questions)</w:t>
            </w:r>
          </w:p>
        </w:tc>
      </w:tr>
      <w:tr>
        <w:tc>
          <w:tcPr>
            <w:tcW w:type="dxa" w:w="37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Refusal / “I don’t know” path (faithfulness)</w:t>
            </w:r>
          </w:p>
        </w:tc>
        <w:tc>
          <w:tcPr>
            <w:tcW w:type="dxa" w:w="1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Met</w:t>
            </w:r>
          </w:p>
        </w:tc>
        <w:tc>
          <w:tcPr>
            <w:tcW w:type="dxa" w:w="44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Relevance-threshold refusal; 3/3 on out-of-corpus tests</w:t>
            </w:r>
          </w:p>
        </w:tc>
      </w:tr>
      <w:tr>
        <w:tc>
          <w:tcPr>
            <w:tcW w:type="dxa" w:w="37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Interactive interface</w:t>
            </w:r>
          </w:p>
        </w:tc>
        <w:tc>
          <w:tcPr>
            <w:tcW w:type="dxa" w:w="1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Met</w:t>
            </w:r>
          </w:p>
        </w:tc>
        <w:tc>
          <w:tcPr>
            <w:tcW w:type="dxa" w:w="44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Streamlit chat UI (app.py)</w:t>
            </w:r>
          </w:p>
        </w:tc>
      </w:tr>
      <w:tr>
        <w:tc>
          <w:tcPr>
            <w:tcW w:type="dxa" w:w="37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Demo recording</w:t>
            </w:r>
          </w:p>
        </w:tc>
        <w:tc>
          <w:tcPr>
            <w:tcW w:type="dxa" w:w="1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To record</w:t>
            </w:r>
          </w:p>
        </w:tc>
        <w:tc>
          <w:tcPr>
            <w:tcW w:type="dxa" w:w="44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pPr>
              <w:spacing w:after="0" w:line="264"/>
            </w:pPr>
            <w:r>
              <w:rPr>
                <w:b w:val="false"/>
                <w:bCs w:val="false"/>
              </w:rPr>
              <w:t xml:space="preserve">5-minute walkthrough of the Streamlit UI + eval</w:t>
            </w:r>
          </w:p>
        </w:tc>
      </w:tr>
      <w:tr>
        <w:tc>
          <w:tcPr>
            <w:tcW w:type="dxa" w:w="37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GitHub link or zip</w:t>
            </w:r>
          </w:p>
        </w:tc>
        <w:tc>
          <w:tcPr>
            <w:tcW w:type="dxa" w:w="12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To submit</w:t>
            </w:r>
          </w:p>
        </w:tc>
        <w:tc>
          <w:tcPr>
            <w:tcW w:type="dxa" w:w="44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pPr>
              <w:spacing w:after="0" w:line="264"/>
            </w:pPr>
            <w:r>
              <w:rPr>
                <w:b w:val="false"/>
                <w:bCs w:val="false"/>
              </w:rPr>
              <w:t xml:space="preserve">Commit + push the InsuranceRAG project</w:t>
            </w:r>
          </w:p>
        </w:tc>
      </w:tr>
    </w:tbl>
    <w:p>
      <w:pPr>
        <w:spacing w:after="80"/>
      </w:pPr>
    </w:p>
    <w:p>
      <w:pPr>
        <w:pStyle w:val="Heading2"/>
      </w:pPr>
      <w:r>
        <w:t xml:space="preserve">Development Notes — Prompts, Iterations &amp; Learnings</w:t>
      </w:r>
    </w:p>
    <w:p>
      <w:pPr>
        <w:pStyle w:val="ListParagraph"/>
        <w:numPr>
          <w:ilvl w:val="0"/>
          <w:numId w:val="2"/>
        </w:numPr>
        <w:spacing w:after="60" w:line="270"/>
      </w:pPr>
      <w:r>
        <w:rPr>
          <w:b/>
          <w:bCs/>
        </w:rPr>
        <w:t xml:space="preserve">Prompting approach: </w:t>
      </w:r>
      <w:r>
        <w:t xml:space="preserve">the system prompt forces context-only answers, mandatory source citations, and a single exact refusal string; the reranker uses a strict 0–10 relevance rubric returned as JSON.</w:t>
      </w:r>
    </w:p>
    <w:p>
      <w:pPr>
        <w:pStyle w:val="ListParagraph"/>
        <w:numPr>
          <w:ilvl w:val="0"/>
          <w:numId w:val="2"/>
        </w:numPr>
        <w:spacing w:after="60" w:line="270"/>
      </w:pPr>
      <w:r>
        <w:rPr>
          <w:b/>
          <w:bCs/>
        </w:rPr>
        <w:t xml:space="preserve">Key iteration: </w:t>
      </w:r>
      <w:r>
        <w:t xml:space="preserve">the original count-based fallback never fired (BM25 always returns something), so the refusal path was rebuilt around the reranker’s relevance score — which made out-of-corpus refusal actually work.</w:t>
      </w:r>
    </w:p>
    <w:p>
      <w:pPr>
        <w:pStyle w:val="ListParagraph"/>
        <w:numPr>
          <w:ilvl w:val="0"/>
          <w:numId w:val="2"/>
        </w:numPr>
        <w:spacing w:after="60" w:line="270"/>
      </w:pPr>
      <w:r>
        <w:rPr>
          <w:b/>
          <w:bCs/>
        </w:rPr>
        <w:t xml:space="preserve">Key iteration: </w:t>
      </w:r>
      <w:r>
        <w:t xml:space="preserve">BM25 was refactored to chunk per strategy (matching the dense side) so the chunking comparison became apples-to-apples.</w:t>
      </w:r>
    </w:p>
    <w:p>
      <w:pPr>
        <w:pStyle w:val="ListParagraph"/>
        <w:numPr>
          <w:ilvl w:val="0"/>
          <w:numId w:val="2"/>
        </w:numPr>
        <w:spacing w:after="60" w:line="270"/>
      </w:pPr>
      <w:r>
        <w:rPr>
          <w:b/>
          <w:bCs/>
        </w:rPr>
        <w:t xml:space="preserve">Learning: </w:t>
      </w:r>
      <w:r>
        <w:t xml:space="preserve">on a small, well-structured corpus, hybrid retrieval saturates recall; the reranker’s real value here is enabling a trustworthy refusal path rather than reordering already-good results.</w:t>
      </w:r>
    </w:p>
    <w:sectPr>
      <w:headerReference w:type="default" r:id="rId7"/>
      <w:footerReference w:type="default" r:id="rId8"/>
      <w:pgSz w:w="12240" w:h="15840"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Home Insurance Agent Assistant  |  The Gen Academy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2026-06-12T05:40:27.785Z</dcterms:created>
  <dcterms:modified xsi:type="dcterms:W3CDTF">2026-06-12T05:40:27.791Z</dcterms:modified>
</cp:coreProperties>
</file>

<file path=docProps/custom.xml><?xml version="1.0" encoding="utf-8"?>
<Properties xmlns="http://schemas.openxmlformats.org/officeDocument/2006/custom-properties" xmlns:vt="http://schemas.openxmlformats.org/officeDocument/2006/docPropsVTypes"/>
</file>