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tos" w:hAnsi="Aptos"/>
          <w:b/>
          <w:color w:val="315FD8"/>
          <w:sz w:val="17"/>
        </w:rPr>
        <w:t>2026 FINTECHATHON · AGENT WALLET</w:t>
      </w:r>
    </w:p>
    <w:p>
      <w:pPr>
        <w:spacing w:after="60"/>
      </w:pPr>
      <w:r>
        <w:rPr>
          <w:rFonts w:ascii="Arial Unicode MS" w:hAnsi="Arial Unicode MS" w:eastAsia="Arial Unicode MS"/>
          <w:b/>
          <w:color w:val="17213A"/>
          <w:sz w:val="46"/>
        </w:rPr>
        <w:t>International AI Track Execution Evidence</w:t>
      </w:r>
    </w:p>
    <w:p>
      <w:pPr>
        <w:spacing w:after="320"/>
      </w:pPr>
      <w:r>
        <w:rPr>
          <w:color w:val="616C7F"/>
          <w:sz w:val="20"/>
        </w:rPr>
        <w:t>Optional supporting material for operation logs or on-chain transaction evidence.</w:t>
      </w:r>
    </w:p>
    <w:tbl>
      <w:tblPr>
        <w:tblW w:type="auto" w:w="0"/>
        <w:tblLayout w:type="fixed"/>
        <w:tblLook w:firstColumn="1" w:firstRow="1" w:lastColumn="0" w:lastRow="0" w:noHBand="0" w:noVBand="1" w:val="04A0"/>
      </w:tblPr>
      <w:tblGrid>
        <w:gridCol w:w="4939"/>
        <w:gridCol w:w="4939"/>
      </w:tblGrid>
      <w:tr>
        <w:tc>
          <w:tcPr>
            <w:tcW w:type="dxa" w:w="2088"/>
            <w:shd w:fill="EEF3FF"/>
          </w:tcPr>
          <w:p>
            <w:pPr>
              <w:spacing w:after="0"/>
            </w:pPr>
            <w:r>
              <w:rPr>
                <w:b/>
                <w:sz w:val="18"/>
              </w:rPr>
              <w:t>Team name</w:t>
            </w:r>
          </w:p>
        </w:tc>
        <w:tc>
          <w:tcPr>
            <w:tcW w:type="dxa" w:w="7704"/>
          </w:tcPr>
          <w:p>
            <w:r>
              <w:rPr>
                <w:color w:val="616C7F"/>
              </w:rPr>
              <w:t>Nudge project; registered team name to confirm</w:t>
            </w:r>
          </w:p>
        </w:tc>
      </w:tr>
      <w:tr>
        <w:tc>
          <w:tcPr>
            <w:tcW w:type="dxa" w:w="2088"/>
            <w:shd w:fill="EEF3FF"/>
          </w:tcPr>
          <w:p>
            <w:pPr>
              <w:spacing w:after="0"/>
            </w:pPr>
            <w:r>
              <w:rPr>
                <w:b/>
                <w:sz w:val="18"/>
              </w:rPr>
              <w:t>Competition track</w:t>
            </w:r>
          </w:p>
        </w:tc>
        <w:tc>
          <w:tcPr>
            <w:tcW w:type="dxa" w:w="7704"/>
          </w:tcPr>
          <w:p>
            <w:r>
              <w:rPr>
                <w:color w:val="616C7F"/>
              </w:rPr>
              <w:t>International AI Track, Topic F</w:t>
            </w:r>
          </w:p>
        </w:tc>
      </w:tr>
      <w:tr>
        <w:tc>
          <w:tcPr>
            <w:tcW w:type="dxa" w:w="2088"/>
            <w:shd w:fill="EEF3FF"/>
          </w:tcPr>
          <w:p>
            <w:pPr>
              <w:spacing w:after="0"/>
            </w:pPr>
            <w:r>
              <w:rPr>
                <w:b/>
                <w:sz w:val="18"/>
              </w:rPr>
              <w:t>Submission date</w:t>
            </w:r>
          </w:p>
        </w:tc>
        <w:tc>
          <w:tcPr>
            <w:tcW w:type="dxa" w:w="7704"/>
          </w:tcPr>
          <w:p>
            <w:r>
              <w:rPr>
                <w:color w:val="616C7F"/>
              </w:rPr>
              <w:t>17 October 2026; release review required</w:t>
            </w:r>
          </w:p>
        </w:tc>
      </w:tr>
    </w:tbl>
    <w:p/>
    <w:p>
      <w:pPr>
        <w:pStyle w:val="Heading1"/>
      </w:pPr>
      <w:r>
        <w:t>01 Evidence Summary</w:t>
      </w:r>
    </w:p>
    <w:p>
      <w:pPr>
        <w:pStyle w:val="ListBullet"/>
        <w:spacing w:after="100"/>
      </w:pPr>
      <w:r>
        <w:t>Selected topic and scenario</w:t>
      </w:r>
    </w:p>
    <w:p>
      <w:pPr>
        <w:spacing w:after="180"/>
        <w:ind w:left="317"/>
      </w:pPr>
      <w:r>
        <w:rPr>
          <w:color w:val="A0A8B7"/>
        </w:rPr>
        <w:t>Topic F, Nudge. A bounded assistant proposes and executes payments through a public-testnet PolicyVault. The selected examples show a held payment, cancellation by a separate guardian, and payments by two independently scoped assistants. All amounts refer to valueless test tUSD on Base Sepolia, chain ID 84532.</w:t>
      </w:r>
    </w:p>
    <w:p>
      <w:pPr>
        <w:pStyle w:val="ListBullet"/>
        <w:spacing w:after="100"/>
      </w:pPr>
      <w:r>
        <w:t>What the evidence demonstrates</w:t>
      </w:r>
    </w:p>
    <w:p>
      <w:pPr>
        <w:spacing w:after="180"/>
        <w:ind w:left="317"/>
      </w:pPr>
      <w:r>
        <w:rPr>
          <w:color w:val="A0A8B7"/>
        </w:rPr>
        <w:t>Public transaction receipts prove that specific contract events occurred. They do not by themselves prove the original natural-language prompt, a physical phone interaction, identity of a human, or a model's internal reasoning. The scripted local evaluations and their raw rows are separate from testnet execution. Judge reproduction uses read-only RPC calls and the committed verifier; no private keys or owner approval are needed to check a receipt.</w:t>
      </w:r>
    </w:p>
    <w:p>
      <w:pPr>
        <w:pStyle w:val="Heading1"/>
      </w:pPr>
      <w:r>
        <w:t>02 Logs or Transactions</w:t>
      </w:r>
    </w:p>
    <w:p>
      <w:pPr>
        <w:pStyle w:val="ListBullet"/>
        <w:spacing w:after="100"/>
      </w:pPr>
      <w:r>
        <w:t>Simulated account/sandbox logs, or transaction hashes for Topic F</w:t>
      </w:r>
    </w:p>
    <w:p>
      <w:pPr>
        <w:spacing w:after="180"/>
        <w:ind w:left="317"/>
      </w:pPr>
      <w:r>
        <w:rPr>
          <w:color w:val="A0A8B7"/>
        </w:rPr>
        <w:t>Guardian scenario, vault 0x1bAc392A06A058A72A8B0fb1dF4b3F8686CA3747: held payment 0x93c7ceae0d8ef0205966df68a96b038a73489a0bf1eb4c382b00256c97352598; guardian cancellation 0x338a1ffe3619581ea84e9cc65fb0f8e34a8165bdbe56dcad67fba384d0d2c5dc. Multi-assistant scenario, vault 0x31F68A8d36e4392725d2F09261D42a529e6aDc32: Claude held payment 0x4789873e59d32bae28a9960b50f66c0109a2cf089729a0134184ac8706bec44c and release 0x6ada88b4296443c895af6a9f8482a3c99cc262c0830617d859ac3c8caa81e0f0; Hermes held payment 0x892203135b4d83bd0da98a6cbd83c0a627a91f593ad2bb630a8f25f7f2c708ae and release 0x2ce1ea19e768ce0b6583556dd68288cd5b8770325a9db1bfc54c8fda8966a29b. Full clickable references are in evals/README.md and docs/submission/EXECUTION-EVIDENCE.md.</w:t>
      </w:r>
    </w:p>
    <w:p>
      <w:pPr>
        <w:pStyle w:val="ListBullet"/>
        <w:spacing w:after="100"/>
      </w:pPr>
      <w:r>
        <w:t>Timestamp, action, result and relevant screenshot/link</w:t>
      </w:r>
    </w:p>
    <w:p>
      <w:pPr>
        <w:spacing w:after="180"/>
        <w:ind w:left="317"/>
      </w:pPr>
      <w:r>
        <w:rPr>
          <w:color w:val="A0A8B7"/>
        </w:rPr>
        <w:t>The committed evidence CSV at source 6533942 contains 88 cited rows for 72 distinct transaction hashes, each marked true by its original run. This is a record of that run, not a fresh run made by opening this document. Block numbers, sender and recipient are in evals/results/onchain-evidence.csv; block timestamps and receipts are independently available from the explorer or RPC. Regenerate the CSV for the final submission commit and include its dated terminal log. No screenshot is supplied as a substitute for transaction verification.</w:t>
      </w:r>
    </w:p>
    <w:p>
      <w:pPr>
        <w:pStyle w:val="Heading1"/>
      </w:pPr>
      <w:r>
        <w:t>03 Reproduction Guide</w:t>
      </w:r>
    </w:p>
    <w:p>
      <w:pPr>
        <w:pStyle w:val="ListBullet"/>
        <w:spacing w:after="100"/>
      </w:pPr>
      <w:r>
        <w:t>Steps required for judges to reproduce or verify the evidence</w:t>
      </w:r>
    </w:p>
    <w:p>
      <w:pPr>
        <w:spacing w:after="180"/>
        <w:ind w:left="317"/>
      </w:pPr>
      <w:r>
        <w:rPr>
          <w:color w:val="A0A8B7"/>
        </w:rPr>
        <w:t>Clone the exact submitted commit using README.md; install the locked pnpm dependencies. Run bash scripts/verify-evidence.sh with public Base Sepolia access. Foundry enables the additional deployed-bytecode comparison. Open https://sepolia.basescan.org/tx/ followed by each full hash above and check success, emitter address, event and amount. Compare a hold to its release or cancellation by paymentId. Review the raw evaluation CSV and evals/TASKS.md for the separate natural-language task outcomes. Live judge access must be provided out of band; never include bearer keys, approval tokens or personal data in a public artifact.</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6C7F"/>
        <w:sz w:val="16"/>
      </w:rPr>
      <w:t>Complete this document according to the competition notice. If a newer template is published, the newer version prevails.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Unicode MS" w:hAnsi="Arial Unicode MS" w:eastAsia="Arial Unicode MS"/>
      <w:color w:val="172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Unicode MS" w:hAnsi="Arial Unicode MS" w:eastAsia="Arial Unicode MS"/>
      <w:b/>
      <w:bCs/>
      <w:color w:val="315FD8"/>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315FD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