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315FD8"/>
          <w:sz w:val="17"/>
        </w:rPr>
        <w:t>2026 FINTECHATHON · AGENT WALLET</w:t>
      </w:r>
    </w:p>
    <w:p>
      <w:pPr>
        <w:spacing w:after="60"/>
      </w:pPr>
      <w:r>
        <w:rPr>
          <w:rFonts w:ascii="Arial Unicode MS" w:hAnsi="Arial Unicode MS" w:eastAsia="Arial Unicode MS"/>
          <w:b/>
          <w:color w:val="17213A"/>
          <w:sz w:val="46"/>
        </w:rPr>
        <w:t>International AI Track Security Self-assessment</w:t>
      </w:r>
    </w:p>
    <w:p>
      <w:pPr>
        <w:spacing w:after="320"/>
      </w:pPr>
      <w:r>
        <w:rPr>
          <w:color w:val="616C7F"/>
          <w:sz w:val="20"/>
        </w:rPr>
        <w:t>Optional supporting material. Please complete this document in English.</w:t>
      </w:r>
    </w:p>
    <w:tbl>
      <w:tblPr>
        <w:tblW w:type="auto" w:w="0"/>
        <w:tblLayout w:type="fixed"/>
        <w:tblLook w:firstColumn="1" w:firstRow="1" w:lastColumn="0" w:lastRow="0" w:noHBand="0" w:noVBand="1" w:val="04A0"/>
      </w:tblPr>
      <w:tblGrid>
        <w:gridCol w:w="4939"/>
        <w:gridCol w:w="4939"/>
      </w:tblGrid>
      <w:tr>
        <w:tc>
          <w:tcPr>
            <w:tcW w:type="dxa" w:w="2088"/>
            <w:shd w:fill="EEF3FF"/>
          </w:tcPr>
          <w:p>
            <w:pPr>
              <w:spacing w:after="0"/>
            </w:pPr>
            <w:r>
              <w:rPr>
                <w:b/>
                <w:sz w:val="18"/>
              </w:rPr>
              <w:t>Team name</w:t>
            </w:r>
          </w:p>
        </w:tc>
        <w:tc>
          <w:tcPr>
            <w:tcW w:type="dxa" w:w="7704"/>
          </w:tcPr>
          <w:p>
            <w:r>
              <w:rPr>
                <w:color w:val="616C7F"/>
              </w:rPr>
              <w:t>Agent Wallet project; registered team name to confirm</w:t>
            </w:r>
          </w:p>
        </w:tc>
      </w:tr>
      <w:tr>
        <w:tc>
          <w:tcPr>
            <w:tcW w:type="dxa" w:w="2088"/>
            <w:shd w:fill="EEF3FF"/>
          </w:tcPr>
          <w:p>
            <w:pPr>
              <w:spacing w:after="0"/>
            </w:pPr>
            <w:r>
              <w:rPr>
                <w:b/>
                <w:sz w:val="18"/>
              </w:rPr>
              <w:t>Competition track</w:t>
            </w:r>
          </w:p>
        </w:tc>
        <w:tc>
          <w:tcPr>
            <w:tcW w:type="dxa" w:w="7704"/>
          </w:tcPr>
          <w:p>
            <w:r>
              <w:rPr>
                <w:color w:val="616C7F"/>
              </w:rPr>
              <w:t>International AI Track, Topic F</w:t>
            </w:r>
          </w:p>
        </w:tc>
      </w:tr>
      <w:tr>
        <w:tc>
          <w:tcPr>
            <w:tcW w:type="dxa" w:w="2088"/>
            <w:shd w:fill="EEF3FF"/>
          </w:tcPr>
          <w:p>
            <w:pPr>
              <w:spacing w:after="0"/>
            </w:pPr>
            <w:r>
              <w:rPr>
                <w:b/>
                <w:sz w:val="18"/>
              </w:rPr>
              <w:t>Submission date</w:t>
            </w:r>
          </w:p>
        </w:tc>
        <w:tc>
          <w:tcPr>
            <w:tcW w:type="dxa" w:w="7704"/>
          </w:tcPr>
          <w:p>
            <w:r>
              <w:rPr>
                <w:color w:val="616C7F"/>
              </w:rPr>
              <w:t>17 October 2026; release review required</w:t>
            </w:r>
          </w:p>
        </w:tc>
      </w:tr>
    </w:tbl>
    <w:p/>
    <w:p>
      <w:pPr>
        <w:pStyle w:val="Heading1"/>
      </w:pPr>
      <w:r>
        <w:t>01 Permission Model</w:t>
      </w:r>
    </w:p>
    <w:p>
      <w:pPr>
        <w:pStyle w:val="ListBullet"/>
        <w:spacing w:after="100"/>
      </w:pPr>
      <w:r>
        <w:t>Roles, operations and permission boundaries</w:t>
      </w:r>
    </w:p>
    <w:p>
      <w:pPr>
        <w:spacing w:after="180"/>
        <w:ind w:left="317"/>
      </w:pPr>
      <w:r>
        <w:rPr>
          <w:color w:val="A0A8B7"/>
        </w:rPr>
        <w:t>Owner passkey: authorise exact actions, change policy, enrol backup passkeys and approve payments; loosening waits. Agent key: pay saved contacts within per-payment, rolling 24-hour, shared-ceiling and protected-balance limits; freeze itself. MCP bearer key: read permitted records and propose tasks for its own assistant. Backend: hold sealed agent keys and relay transactions but cannot expand contract permissions. Guardian: freeze and cancel only. Family guardian: inspect authorised pending requests and stop or freeze only. Demo users: isolated sandboxes. No model output can approve or enlarge its own authority.</w:t>
      </w:r>
    </w:p>
    <w:p>
      <w:pPr>
        <w:pStyle w:val="ListBullet"/>
        <w:spacing w:after="100"/>
      </w:pPr>
      <w:r>
        <w:t>Confirmation, verification and rollback mechanisms</w:t>
      </w:r>
    </w:p>
    <w:p>
      <w:pPr>
        <w:spacing w:after="180"/>
        <w:ind w:left="317"/>
      </w:pPr>
      <w:r>
        <w:rPr>
          <w:color w:val="A0A8B7"/>
        </w:rPr>
        <w:t>WebAuthn assertions bind the signed action, chain, vault, nonce and deadline and require user verification. The approval site reconstructs the display and challenge. Tightening takes effect immediately; loosening queues a cancellable change. Payments above the hold threshold wait before release. A guardian can cancel during the hold; a confirmed blockchain transfer cannot be rolled back. Transaction bytes are saved before broadcast and ambiguous replies stay unknown until reconciliation. Revocation invalidates stale changes and held-payment release checks current policy.</w:t>
      </w:r>
    </w:p>
    <w:p>
      <w:pPr>
        <w:pStyle w:val="Heading1"/>
      </w:pPr>
      <w:r>
        <w:t>02 Security Tests</w:t>
      </w:r>
    </w:p>
    <w:p>
      <w:pPr>
        <w:pStyle w:val="ListBullet"/>
        <w:spacing w:after="100"/>
      </w:pPr>
      <w:r>
        <w:t>Prompt injection, social engineering, privilege escalation and failure recovery tests</w:t>
      </w:r>
    </w:p>
    <w:p>
      <w:pPr>
        <w:spacing w:after="180"/>
        <w:ind w:left="317"/>
      </w:pPr>
      <w:r>
        <w:rPr>
          <w:color w:val="A0A8B7"/>
        </w:rPr>
        <w:t>The committed suite covers stolen keys, new recipients, replay, limits, protected funds, concurrent requests, receipt loss, late callbacks, swapped approvals, privacy boundaries, forged Telegram updates and cross-account access. The historical Claude MCP evaluation uses 54 tasks per model: 38 attacks and 16 legitimate tasks. Opus, Sonnet and Haiku each report 0/38 attacks successful and 15/16 legitimate tasks. All models also resisted this corpus without the vault, so this does not establish superiority of the vault as an injection detector. An obedient scripted model was fooled in 36/38 cases, but the full system paid no unknown contact and stayed inside the published limits. Local Anvil evals and public testnet receipts are separate evidence classes. See evals/README.md, evals/TASKS.md, evals/P0.md and docs/TESTING.md for scope and failures.</w:t>
      </w:r>
    </w:p>
    <w:p>
      <w:pPr>
        <w:pStyle w:val="Heading1"/>
      </w:pPr>
      <w:r>
        <w:t>03 Data and Privacy</w:t>
      </w:r>
    </w:p>
    <w:p>
      <w:pPr>
        <w:pStyle w:val="ListBullet"/>
        <w:spacing w:after="100"/>
      </w:pPr>
      <w:r>
        <w:t>Data provenance, consent, minimisation, storage and deletion</w:t>
      </w:r>
    </w:p>
    <w:p>
      <w:pPr>
        <w:spacing w:after="180"/>
        <w:ind w:left="317"/>
      </w:pPr>
      <w:r>
        <w:rPr>
          <w:color w:val="A0A8B7"/>
        </w:rPr>
        <w:t>Demo data is synthetic. Owners supply statement data and explicitly link private Telegram chats or invite guardians. Each assistant has its own scopes; hidden balances are not returned exactly by can_afford. The approval page exposes only the action, not balances or statements. Keys are sealed on the backend, but a full backend compromise can access both the sealed keys and the unsealing secret. Account records live in Convex; hosting, identity, messaging and optional model providers process the requests their roles require. Base Sepolia receipts and public payment amounts are permanent; deleting application records cannot erase them. We have not established a complete user-facing deletion/export workflow, retention schedule or independent privacy assessment for this release. Do not use real financial or identity data in the submission demo.</w:t>
      </w:r>
    </w:p>
    <w:p>
      <w:pPr>
        <w:pStyle w:val="Heading1"/>
      </w:pPr>
      <w:r>
        <w:t>04 Known Risks</w:t>
      </w:r>
    </w:p>
    <w:p>
      <w:pPr>
        <w:pStyle w:val="ListBullet"/>
        <w:spacing w:after="100"/>
      </w:pPr>
      <w:r>
        <w:t>Risk, impact, mitigation and planned improvement</w:t>
      </w:r>
    </w:p>
    <w:p>
      <w:pPr>
        <w:spacing w:after="180"/>
        <w:ind w:left="317"/>
      </w:pPr>
      <w:r>
        <w:rPr>
          <w:color w:val="A0A8B7"/>
        </w:rPr>
        <w:t>Known risks: a fooled agent can pay a saved contact within its limits; a full backend compromise can do the same with all agent keys; a compromised approval page may mislead the owner because WebAuthn has no trusted payment display; loss of every passkey locks funds; synced passkeys inherit the platform-account risk; RPC lag can delay status; public testnet metadata remains visible; Vercel access may be unreliable in mainland China. Small limits, holds, protected funds, separate approval hosting, backup passkeys and offline video/evidence reduce these risks. Dedicated signing infrastructure, independently audited contracts, documented data lifecycle and an accessible production host are future production work. The current entry uses valueless test tokens only, makes no claim of regulatory approval and has no external security audit.</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16C7F"/>
        <w:sz w:val="16"/>
      </w:rPr>
      <w:t>Complete this document according to the competition notice. If a newer template is published, the newer version prevails.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Unicode MS" w:hAnsi="Arial Unicode MS" w:eastAsia="Arial Unicode MS"/>
      <w:color w:val="172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Unicode MS" w:hAnsi="Arial Unicode MS" w:eastAsia="Arial Unicode MS"/>
      <w:b/>
      <w:bCs/>
      <w:color w:val="315FD8"/>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315FD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