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Agent Wallet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Project Overview</w:t>
      </w:r>
    </w:p>
    <w:p>
      <w:pPr>
        <w:pStyle w:val="ListBullet"/>
        <w:spacing w:after="100"/>
      </w:pPr>
      <w:r>
        <w:t>Problem, target users and selected topic</w:t>
      </w:r>
    </w:p>
    <w:p>
      <w:pPr>
        <w:spacing w:after="180"/>
        <w:ind w:left="317"/>
      </w:pPr>
      <w:r>
        <w:rPr>
          <w:color w:val="A0A8B7"/>
        </w:rPr>
        <w:t>Agent Wallet is a testnet payment product for people who use AI assistants. Topic F asks an agent to execute on-chain actions autonomously. We let an assistant pay saved contacts inside an owner-defined budget, with holds and phone approval when more authority is needed. The dashboard also supports accounts, statement import, bills and safe-to-spend. Only test tUSD on Base Sepolia is used; it has no value.</w:t>
      </w:r>
    </w:p>
    <w:p>
      <w:pPr>
        <w:pStyle w:val="ListBullet"/>
        <w:spacing w:after="100"/>
      </w:pPr>
      <w:r>
        <w:t>Core value and innovation</w:t>
      </w:r>
    </w:p>
    <w:p>
      <w:pPr>
        <w:spacing w:after="180"/>
        <w:ind w:left="317"/>
      </w:pPr>
      <w:r>
        <w:rPr>
          <w:color w:val="A0A8B7"/>
        </w:rPr>
        <w:t>An owner uses a phone passkey to authorise exact vault actions. The PolicyVault contract checks limits independently of our server: saved contacts, per-payment limits, rolling 24-hour limits, a shared ceiling and a protected amount. A stolen agent key remains bounded. MCP lets separate assistants use their own permissions. Tightening is immediate; loosening requires the passkey and a cancellable delay. A fooled assistant may still make an in-limit payment to a saved contact. We publish this residual exposure.</w:t>
      </w:r>
    </w:p>
    <w:p>
      <w:pPr>
        <w:pStyle w:val="Heading1"/>
      </w:pPr>
      <w:r>
        <w:t>02 System Architecture</w:t>
      </w:r>
    </w:p>
    <w:p>
      <w:pPr>
        <w:pStyle w:val="ListBullet"/>
        <w:spacing w:after="100"/>
      </w:pPr>
      <w:r>
        <w:t>Architecture diagram and component responsibilities</w:t>
      </w:r>
    </w:p>
    <w:p>
      <w:pPr>
        <w:spacing w:after="180"/>
        <w:ind w:left="317"/>
      </w:pPr>
      <w:r>
        <w:rPr>
          <w:color w:val="A0A8B7"/>
        </w:rPr>
        <w:t>Web dashboard (Next.js, Vercel) -&gt; authenticated Convex gateway -&gt; transaction relayer -&gt; PolicyVault on Base Sepolia. A separate approval origin (Vite, Vercel) decodes the signed action and obtains the owner's WebAuthn assertion. PolicyVault verifies P-256, origin binding, user verification, nonce and deadline. The guardian role can stop or freeze but cannot pay or loosen policy. Shared TypeScript contains money calculations, ABI encoding and mandate verification. Detailed sequence diagrams are in docs/submission/TECHNICAL.md.</w:t>
      </w:r>
    </w:p>
    <w:p>
      <w:pPr>
        <w:pStyle w:val="ListBullet"/>
        <w:spacing w:after="100"/>
      </w:pPr>
      <w:r>
        <w:t>Models, tools, data sources and external services</w:t>
      </w:r>
    </w:p>
    <w:p>
      <w:pPr>
        <w:spacing w:after="180"/>
        <w:ind w:left="317"/>
      </w:pPr>
      <w:r>
        <w:rPr>
          <w:color w:val="A0A8B7"/>
        </w:rPr>
        <w:t>External services: Clerk authentication; Convex data, queues and backend; Vercel web and approval hosting; Base Sepolia RPC; Telegram for linked private-chat notices and approvals; optional language-model services for chat. Outside assistants connect through the authenticated MCP endpoint. Statement and demo data are synthetic or supplied by the account owner. Model output is untrusted and never grants authority. See README.md for environment names and deployment instructions; credentials are deliberately excluded.</w:t>
      </w:r>
    </w:p>
    <w:p>
      <w:pPr>
        <w:pStyle w:val="Heading1"/>
      </w:pPr>
      <w:r>
        <w:t>03 Agent Design</w:t>
      </w:r>
    </w:p>
    <w:p>
      <w:pPr>
        <w:pStyle w:val="ListBullet"/>
        <w:spacing w:after="100"/>
      </w:pPr>
      <w:r>
        <w:t>Intent understanding, planning, tool use and state management</w:t>
      </w:r>
    </w:p>
    <w:p>
      <w:pPr>
        <w:spacing w:after="180"/>
        <w:ind w:left="317"/>
      </w:pPr>
      <w:r>
        <w:rPr>
          <w:color w:val="A0A8B7"/>
        </w:rPr>
        <w:t>The gateway authenticates each assistant, checks its scopes and wallet state, resolves saved contacts and validates whole-cent amounts. It proposes a task rather than declaring money paid. In-limit payments enter the relayer queue; larger or unavailable permissions request owner approval. Above the configured hold threshold, the vault records a hold that can be cancelled before release. The approval page derives the displayed amount and recipient from signed bytes. Freeze and disconnect change on-chain permissions. The assistant may ask for missing information and the app offers a rule-based fallback; conversation behavior is tested separately from settlement.</w:t>
      </w:r>
    </w:p>
    <w:p>
      <w:pPr>
        <w:pStyle w:val="ListBullet"/>
        <w:spacing w:after="100"/>
      </w:pPr>
      <w:r>
        <w:t>Core algorithms and evaluation approach</w:t>
      </w:r>
    </w:p>
    <w:p>
      <w:pPr>
        <w:spacing w:after="180"/>
        <w:ind w:left="317"/>
      </w:pPr>
      <w:r>
        <w:rPr>
          <w:color w:val="A0A8B7"/>
        </w:rPr>
        <w:t>PolicyVault uses fixed rolling-window records rather than a calendar reset. Reservations account for unsettled operations; transaction bytes and a hash are saved before broadcast. Ambiguous replies remain unknown and reconcile using the same signed transaction, preventing a retry from creating another payment. Tests cover contracts, gateway decisions, settlement failures, cross-account access and browser-shaped signatures. Committed evals compare hot-wallet, capped-wallet and PolicyVault attacks. The dated Claude MCP evaluation has 54 cases per model, 38 attacks and 16 legitimate tasks. It reports 0/38 attack successes and 15/16 legitimate tasks per model; emergency freeze through MCP was the missing task. Those are historical measurements, not a fresh certification of this release.</w:t>
      </w:r>
    </w:p>
    <w:p>
      <w:pPr>
        <w:pStyle w:val="Heading1"/>
      </w:pPr>
      <w:r>
        <w:t>04 Security Design</w:t>
      </w:r>
    </w:p>
    <w:p>
      <w:pPr>
        <w:pStyle w:val="ListBullet"/>
        <w:spacing w:after="100"/>
      </w:pPr>
      <w:r>
        <w:t>Tiered permissions and confirmation for sensitive actions</w:t>
      </w:r>
    </w:p>
    <w:p>
      <w:pPr>
        <w:spacing w:after="180"/>
        <w:ind w:left="317"/>
      </w:pPr>
      <w:r>
        <w:rPr>
          <w:color w:val="A0A8B7"/>
        </w:rPr>
        <w:t>Owner passkeys can sign changes and over-limit payments. Agent keys can only invoke allowed agent operations within the contract rules. MCP bearer keys access only their assistant's scopes and never receive owner approval links or tokens. The separate approval site requires owner verification. Guardian and family-guardian roles can stop or freeze; they cannot transfer. Testnet demo visitors receive separate sandboxes. The permission table and known risks are in docs/submission/SELF-ASSESSMENT.md.</w:t>
      </w:r>
    </w:p>
    <w:p>
      <w:pPr>
        <w:pStyle w:val="ListBullet"/>
        <w:spacing w:after="100"/>
      </w:pPr>
      <w:r>
        <w:t>Protection against prompt injection, privilege escalation and privacy leakage</w:t>
      </w:r>
    </w:p>
    <w:p>
      <w:pPr>
        <w:spacing w:after="180"/>
        <w:ind w:left="317"/>
      </w:pPr>
      <w:r>
        <w:rPr>
          <w:color w:val="A0A8B7"/>
        </w:rPr>
        <w:t>No prompt is treated as a security boundary. Gateway checks reduce mistakes, while the vault bounds settlement even if the agent is fooled or its key stolen. A separate-origin approval site rebuilds action text, applies a strict CSP and verifies the action digest. Per-user access controls and scoped MCP tools limit data exposure. Request IDs, nonces, deadlines, held-payment checks and revocation generations address retries, replay and stale authorisations. Residual risks include a compromised approval page, in-limit malicious payments, full backend compromise within agent limits, public-chain metadata and loss of all passkeys.</w:t>
      </w:r>
    </w:p>
    <w:p>
      <w:pPr>
        <w:pStyle w:val="Heading1"/>
      </w:pPr>
      <w:r>
        <w:t>05 Deployment and Testing</w:t>
      </w:r>
    </w:p>
    <w:p>
      <w:pPr>
        <w:pStyle w:val="ListBullet"/>
        <w:spacing w:after="100"/>
      </w:pPr>
      <w:r>
        <w:t>Environment, deployment instructions, test cases and known limitations</w:t>
      </w:r>
    </w:p>
    <w:p>
      <w:pPr>
        <w:spacing w:after="180"/>
        <w:ind w:left="317"/>
      </w:pPr>
      <w:r>
        <w:rPr>
          <w:color w:val="A0A8B7"/>
        </w:rPr>
        <w:t>Run the setup and test commands in README.md and docs/TESTING.md. Read-only evidence verification is bash scripts/verify-evidence.sh; it checks public Base Sepolia receipts against the cited steps and compares bytecode when Foundry is installed. The live app is https://agent-wallet-nu.vercel.app and approval origin https://agent-wallet-approve.vercel.app. The repository is https://github.com/laksh-ya/agent-wallet; access must be checked from a judge account before submission. This document describes the code and committed evidence at 6533942. A later release needs the final acceptance run, working judge access and a recorded demo. It is a prototype without an external audit and does not support real-money use.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