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C8E8E"/>
          <w:sz w:val="15"/>
        </w:rPr>
        <w:t>EXECUTIVE SUBMISSION BRIEF / SEPTEMBER 2026</w:t>
      </w:r>
    </w:p>
    <w:p>
      <w:pPr>
        <w:pStyle w:val="Title"/>
      </w:pPr>
      <w:r>
        <w:t>Compact model training for</w:t>
        <w:br/>
        <w:t>insurance tariff ranking</w:t>
      </w:r>
    </w:p>
    <w:p>
      <w:pPr>
        <w:pStyle w:val="ReportSubtitle"/>
      </w:pPr>
      <w:r>
        <w:t>Residential building-insurance tariff ranking with SFT, a measured GRPO continuation, and production economics</w:t>
      </w:r>
    </w:p>
    <w:p>
      <w:pPr>
        <w:spacing w:before="20" w:after="80"/>
        <w:pBdr>
          <w:bottom w:val="single" w:sz="28" w:space="1" w:color="D97706"/>
        </w:pBdr>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70"/>
      </w:tblGrid>
      <w:tr>
        <w:tc>
          <w:tcPr>
            <w:tcW w:type="dxa" w:w="10570"/>
            <w:shd w:fill="EEF4FB"/>
            <w:tcMar>
              <w:top w:w="105" w:type="dxa"/>
              <w:start w:w="125" w:type="dxa"/>
              <w:bottom w:w="105" w:type="dxa"/>
              <w:end w:w="125" w:type="dxa"/>
            </w:tcMar>
          </w:tcPr>
          <w:p>
            <w:pPr>
              <w:spacing w:after="40"/>
            </w:pPr>
            <w:r>
              <w:rPr>
                <w:b/>
                <w:color w:val="183153"/>
              </w:rPr>
              <w:t>Assignment outcome — achieved</w:t>
            </w:r>
          </w:p>
          <w:p>
            <w:pPr>
              <w:spacing w:after="0"/>
            </w:pPr>
            <w:r>
              <w:t>The goal was to exceed 80% Top-1 agreement while producing a deployable ranked Top-3. The selected 2B SFT adapter reached 84% Top-1, 86.7% Top-3 recall, and 100% strict JSON on the held-out Fable benchmark.</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2642"/>
            <w:shd w:fill="183153"/>
            <w:vAlign w:val="center"/>
            <w:tcMar>
              <w:top w:w="90" w:type="dxa"/>
              <w:start w:w="60" w:type="dxa"/>
              <w:bottom w:w="80" w:type="dxa"/>
              <w:end w:w="60" w:type="dxa"/>
            </w:tcMar>
          </w:tcPr>
          <w:p>
            <w:pPr>
              <w:jc w:val="center"/>
            </w:pPr>
            <w:r>
              <w:rPr>
                <w:b/>
                <w:color w:val="FFFFFF"/>
                <w:sz w:val="32"/>
              </w:rPr>
              <w:t>0.22 → 0.84</w:t>
            </w:r>
          </w:p>
          <w:p>
            <w:pPr>
              <w:spacing w:after="0"/>
              <w:jc w:val="center"/>
            </w:pPr>
            <w:r>
              <w:rPr>
                <w:color w:val="FFFFFF"/>
                <w:sz w:val="14"/>
              </w:rPr>
              <w:t>2B base → SFT Top-1</w:t>
            </w:r>
          </w:p>
        </w:tc>
        <w:tc>
          <w:tcPr>
            <w:tcW w:type="dxa" w:w="2642"/>
            <w:shd w:fill="1C8E8E"/>
            <w:vAlign w:val="center"/>
            <w:tcMar>
              <w:top w:w="90" w:type="dxa"/>
              <w:start w:w="60" w:type="dxa"/>
              <w:bottom w:w="80" w:type="dxa"/>
              <w:end w:w="60" w:type="dxa"/>
            </w:tcMar>
          </w:tcPr>
          <w:p>
            <w:pPr>
              <w:jc w:val="center"/>
            </w:pPr>
            <w:r>
              <w:rPr>
                <w:b/>
                <w:color w:val="FFFFFF"/>
                <w:sz w:val="32"/>
              </w:rPr>
              <w:t>86.7%</w:t>
            </w:r>
          </w:p>
          <w:p>
            <w:pPr>
              <w:spacing w:after="0"/>
              <w:jc w:val="center"/>
            </w:pPr>
            <w:r>
              <w:rPr>
                <w:color w:val="FFFFFF"/>
                <w:sz w:val="14"/>
              </w:rPr>
              <w:t>Top-3 recall</w:t>
            </w:r>
          </w:p>
        </w:tc>
        <w:tc>
          <w:tcPr>
            <w:tcW w:type="dxa" w:w="2642"/>
            <w:shd w:fill="183153"/>
            <w:vAlign w:val="center"/>
            <w:tcMar>
              <w:top w:w="90" w:type="dxa"/>
              <w:start w:w="60" w:type="dxa"/>
              <w:bottom w:w="80" w:type="dxa"/>
              <w:end w:w="60" w:type="dxa"/>
            </w:tcMar>
          </w:tcPr>
          <w:p>
            <w:pPr>
              <w:jc w:val="center"/>
            </w:pPr>
            <w:r>
              <w:rPr>
                <w:b/>
                <w:color w:val="FFFFFF"/>
                <w:sz w:val="32"/>
              </w:rPr>
              <w:t>100%</w:t>
            </w:r>
          </w:p>
          <w:p>
            <w:pPr>
              <w:spacing w:after="0"/>
              <w:jc w:val="center"/>
            </w:pPr>
            <w:r>
              <w:rPr>
                <w:color w:val="FFFFFF"/>
                <w:sz w:val="14"/>
              </w:rPr>
              <w:t>strict JSON</w:t>
            </w:r>
          </w:p>
        </w:tc>
        <w:tc>
          <w:tcPr>
            <w:tcW w:type="dxa" w:w="2642"/>
            <w:shd w:fill="1C8E8E"/>
            <w:vAlign w:val="center"/>
            <w:tcMar>
              <w:top w:w="90" w:type="dxa"/>
              <w:start w:w="60" w:type="dxa"/>
              <w:bottom w:w="80" w:type="dxa"/>
              <w:end w:w="60" w:type="dxa"/>
            </w:tcMar>
          </w:tcPr>
          <w:p>
            <w:pPr>
              <w:jc w:val="center"/>
            </w:pPr>
            <w:r>
              <w:rPr>
                <w:b/>
                <w:color w:val="FFFFFF"/>
                <w:sz w:val="32"/>
              </w:rPr>
              <w:t>$7.80</w:t>
            </w:r>
          </w:p>
          <w:p>
            <w:pPr>
              <w:spacing w:after="0"/>
              <w:jc w:val="center"/>
            </w:pPr>
            <w:r>
              <w:rPr>
                <w:color w:val="FFFFFF"/>
                <w:sz w:val="14"/>
              </w:rPr>
              <w:t>total billed spend</w:t>
            </w:r>
          </w:p>
        </w:tc>
      </w:tr>
    </w:tbl>
    <w:p>
      <w:pPr>
        <w:spacing w:after="20"/>
      </w:pPr>
      <w:r>
        <w:rPr>
          <w:b/>
          <w:color w:val="1C8E8E"/>
          <w:sz w:val="15"/>
        </w:rPr>
        <w:t>DECISION IN ONE PAGE</w:t>
      </w:r>
    </w:p>
    <w:p>
      <w:pPr>
        <w:pStyle w:val="Heading1"/>
      </w:pPr>
      <w:r>
        <w:t>Task, approach, outcome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1037"/>
            <w:shd w:fill="183153"/>
            <w:vAlign w:val="center"/>
            <w:tcMar>
              <w:top w:w="70" w:type="dxa"/>
              <w:start w:w="85" w:type="dxa"/>
              <w:bottom w:w="70" w:type="dxa"/>
              <w:end w:w="85" w:type="dxa"/>
            </w:tcMar>
          </w:tcPr>
          <w:p>
            <w:pPr>
              <w:jc w:val="center"/>
            </w:pPr>
            <w:r>
              <w:rPr>
                <w:rFonts w:ascii="Aptos" w:hAnsi="Aptos"/>
                <w:b/>
                <w:color w:val="FFFFFF"/>
                <w:sz w:val="15"/>
              </w:rPr>
              <w:t>Stage</w:t>
            </w:r>
          </w:p>
        </w:tc>
        <w:tc>
          <w:tcPr>
            <w:tcW w:type="dxa" w:w="2477"/>
            <w:shd w:fill="183153"/>
            <w:vAlign w:val="center"/>
            <w:tcMar>
              <w:top w:w="70" w:type="dxa"/>
              <w:start w:w="85" w:type="dxa"/>
              <w:bottom w:w="70" w:type="dxa"/>
              <w:end w:w="85" w:type="dxa"/>
            </w:tcMar>
          </w:tcPr>
          <w:p>
            <w:pPr>
              <w:jc w:val="center"/>
            </w:pPr>
            <w:r>
              <w:rPr>
                <w:rFonts w:ascii="Aptos" w:hAnsi="Aptos"/>
                <w:b/>
                <w:color w:val="FFFFFF"/>
                <w:sz w:val="15"/>
              </w:rPr>
              <w:t>What we did</w:t>
            </w:r>
          </w:p>
        </w:tc>
        <w:tc>
          <w:tcPr>
            <w:tcW w:type="dxa" w:w="2477"/>
            <w:shd w:fill="183153"/>
            <w:vAlign w:val="center"/>
            <w:tcMar>
              <w:top w:w="70" w:type="dxa"/>
              <w:start w:w="85" w:type="dxa"/>
              <w:bottom w:w="70" w:type="dxa"/>
              <w:end w:w="85" w:type="dxa"/>
            </w:tcMar>
          </w:tcPr>
          <w:p>
            <w:pPr>
              <w:jc w:val="center"/>
            </w:pPr>
            <w:r>
              <w:rPr>
                <w:rFonts w:ascii="Aptos" w:hAnsi="Aptos"/>
                <w:b/>
                <w:color w:val="FFFFFF"/>
                <w:sz w:val="15"/>
              </w:rPr>
              <w:t>Why</w:t>
            </w:r>
          </w:p>
        </w:tc>
        <w:tc>
          <w:tcPr>
            <w:tcW w:type="dxa" w:w="2693"/>
            <w:shd w:fill="183153"/>
            <w:vAlign w:val="center"/>
            <w:tcMar>
              <w:top w:w="70" w:type="dxa"/>
              <w:start w:w="85" w:type="dxa"/>
              <w:bottom w:w="70" w:type="dxa"/>
              <w:end w:w="85" w:type="dxa"/>
            </w:tcMar>
          </w:tcPr>
          <w:p>
            <w:pPr>
              <w:jc w:val="center"/>
            </w:pPr>
            <w:r>
              <w:rPr>
                <w:rFonts w:ascii="Aptos" w:hAnsi="Aptos"/>
                <w:b/>
                <w:color w:val="FFFFFF"/>
                <w:sz w:val="15"/>
              </w:rPr>
              <w:t>Verified result</w:t>
            </w:r>
          </w:p>
        </w:tc>
      </w:tr>
      <w:tr>
        <w:tc>
          <w:tcPr>
            <w:tcW w:type="dxa" w:w="1037"/>
            <w:vAlign w:val="center"/>
            <w:tcMar>
              <w:top w:w="65" w:type="dxa"/>
              <w:start w:w="85" w:type="dxa"/>
              <w:bottom w:w="65" w:type="dxa"/>
              <w:end w:w="85" w:type="dxa"/>
            </w:tcMar>
          </w:tcPr>
          <w:p>
            <w:pPr>
              <w:jc w:val="left"/>
            </w:pPr>
            <w:r>
              <w:rPr>
                <w:rFonts w:ascii="Aptos" w:hAnsi="Aptos"/>
                <w:sz w:val="15"/>
              </w:rPr>
              <w:t>Data</w:t>
            </w:r>
          </w:p>
        </w:tc>
        <w:tc>
          <w:tcPr>
            <w:tcW w:type="dxa" w:w="2477"/>
            <w:vAlign w:val="center"/>
            <w:tcMar>
              <w:top w:w="65" w:type="dxa"/>
              <w:start w:w="85" w:type="dxa"/>
              <w:bottom w:w="65" w:type="dxa"/>
              <w:end w:w="85" w:type="dxa"/>
            </w:tcMar>
          </w:tcPr>
          <w:p>
            <w:pPr>
              <w:jc w:val="center"/>
            </w:pPr>
            <w:r>
              <w:rPr>
                <w:rFonts w:ascii="Aptos" w:hAnsi="Aptos"/>
                <w:sz w:val="15"/>
              </w:rPr>
              <w:t>Generated risks + 2,000 engine requests</w:t>
            </w:r>
          </w:p>
        </w:tc>
        <w:tc>
          <w:tcPr>
            <w:tcW w:type="dxa" w:w="2477"/>
            <w:vAlign w:val="center"/>
            <w:tcMar>
              <w:top w:w="65" w:type="dxa"/>
              <w:start w:w="85" w:type="dxa"/>
              <w:bottom w:w="65" w:type="dxa"/>
              <w:end w:w="85" w:type="dxa"/>
            </w:tcMar>
          </w:tcPr>
          <w:p>
            <w:pPr>
              <w:jc w:val="center"/>
            </w:pPr>
            <w:r>
              <w:rPr>
                <w:rFonts w:ascii="Aptos" w:hAnsi="Aptos"/>
                <w:sz w:val="15"/>
              </w:rPr>
              <w:t>Create task-specific panels</w:t>
            </w:r>
          </w:p>
        </w:tc>
        <w:tc>
          <w:tcPr>
            <w:tcW w:type="dxa" w:w="2693"/>
            <w:vAlign w:val="center"/>
            <w:tcMar>
              <w:top w:w="65" w:type="dxa"/>
              <w:start w:w="85" w:type="dxa"/>
              <w:bottom w:w="65" w:type="dxa"/>
              <w:end w:w="85" w:type="dxa"/>
            </w:tcMar>
          </w:tcPr>
          <w:p>
            <w:pPr>
              <w:jc w:val="center"/>
            </w:pPr>
            <w:r>
              <w:rPr>
                <w:rFonts w:ascii="Aptos" w:hAnsi="Aptos"/>
                <w:sz w:val="15"/>
              </w:rPr>
              <w:t>1,490 usable panels / 9,632 tariff offers</w:t>
            </w:r>
          </w:p>
        </w:tc>
      </w:tr>
      <w:tr>
        <w:tc>
          <w:tcPr>
            <w:tcW w:type="dxa" w:w="1037"/>
            <w:shd w:fill="F4F6F8"/>
            <w:vAlign w:val="center"/>
            <w:tcMar>
              <w:top w:w="65" w:type="dxa"/>
              <w:start w:w="85" w:type="dxa"/>
              <w:bottom w:w="65" w:type="dxa"/>
              <w:end w:w="85" w:type="dxa"/>
            </w:tcMar>
          </w:tcPr>
          <w:p>
            <w:pPr>
              <w:jc w:val="left"/>
            </w:pPr>
            <w:r>
              <w:rPr>
                <w:rFonts w:ascii="Aptos" w:hAnsi="Aptos"/>
                <w:sz w:val="15"/>
              </w:rPr>
              <w:t>Teacher</w:t>
            </w:r>
          </w:p>
        </w:tc>
        <w:tc>
          <w:tcPr>
            <w:tcW w:type="dxa" w:w="2477"/>
            <w:shd w:fill="F4F6F8"/>
            <w:vAlign w:val="center"/>
            <w:tcMar>
              <w:top w:w="65" w:type="dxa"/>
              <w:start w:w="85" w:type="dxa"/>
              <w:bottom w:w="65" w:type="dxa"/>
              <w:end w:w="85" w:type="dxa"/>
            </w:tcMar>
          </w:tcPr>
          <w:p>
            <w:pPr>
              <w:jc w:val="center"/>
            </w:pPr>
            <w:r>
              <w:rPr>
                <w:rFonts w:ascii="Aptos" w:hAnsi="Aptos"/>
                <w:sz w:val="15"/>
              </w:rPr>
              <w:t>GPT-6 Sol silver labels</w:t>
            </w:r>
          </w:p>
        </w:tc>
        <w:tc>
          <w:tcPr>
            <w:tcW w:type="dxa" w:w="2477"/>
            <w:shd w:fill="F4F6F8"/>
            <w:vAlign w:val="center"/>
            <w:tcMar>
              <w:top w:w="65" w:type="dxa"/>
              <w:start w:w="85" w:type="dxa"/>
              <w:bottom w:w="65" w:type="dxa"/>
              <w:end w:w="85" w:type="dxa"/>
            </w:tcMar>
          </w:tcPr>
          <w:p>
            <w:pPr>
              <w:jc w:val="center"/>
            </w:pPr>
            <w:r>
              <w:rPr>
                <w:rFonts w:ascii="Aptos" w:hAnsi="Aptos"/>
                <w:sz w:val="15"/>
              </w:rPr>
              <w:t>Scale ranked supervision</w:t>
            </w:r>
          </w:p>
        </w:tc>
        <w:tc>
          <w:tcPr>
            <w:tcW w:type="dxa" w:w="2693"/>
            <w:shd w:fill="F4F6F8"/>
            <w:vAlign w:val="center"/>
            <w:tcMar>
              <w:top w:w="65" w:type="dxa"/>
              <w:start w:w="85" w:type="dxa"/>
              <w:bottom w:w="65" w:type="dxa"/>
              <w:end w:w="85" w:type="dxa"/>
            </w:tcMar>
          </w:tcPr>
          <w:p>
            <w:pPr>
              <w:jc w:val="center"/>
            </w:pPr>
            <w:r>
              <w:rPr>
                <w:rFonts w:ascii="Aptos" w:hAnsi="Aptos"/>
                <w:sz w:val="15"/>
              </w:rPr>
              <w:t>1,490 Top-3 labels</w:t>
            </w:r>
          </w:p>
        </w:tc>
      </w:tr>
      <w:tr>
        <w:tc>
          <w:tcPr>
            <w:tcW w:type="dxa" w:w="1037"/>
            <w:vAlign w:val="center"/>
            <w:tcMar>
              <w:top w:w="65" w:type="dxa"/>
              <w:start w:w="85" w:type="dxa"/>
              <w:bottom w:w="65" w:type="dxa"/>
              <w:end w:w="85" w:type="dxa"/>
            </w:tcMar>
          </w:tcPr>
          <w:p>
            <w:pPr>
              <w:jc w:val="left"/>
            </w:pPr>
            <w:r>
              <w:rPr>
                <w:rFonts w:ascii="Aptos" w:hAnsi="Aptos"/>
                <w:sz w:val="15"/>
              </w:rPr>
              <w:t>Reward</w:t>
            </w:r>
          </w:p>
        </w:tc>
        <w:tc>
          <w:tcPr>
            <w:tcW w:type="dxa" w:w="2477"/>
            <w:vAlign w:val="center"/>
            <w:tcMar>
              <w:top w:w="65" w:type="dxa"/>
              <w:start w:w="85" w:type="dxa"/>
              <w:bottom w:w="65" w:type="dxa"/>
              <w:end w:w="85" w:type="dxa"/>
            </w:tcMar>
          </w:tcPr>
          <w:p>
            <w:pPr>
              <w:jc w:val="center"/>
            </w:pPr>
            <w:r>
              <w:rPr>
                <w:rFonts w:ascii="Aptos" w:hAnsi="Aptos"/>
                <w:sz w:val="15"/>
              </w:rPr>
              <w:t>20k deterministic search</w:t>
            </w:r>
          </w:p>
        </w:tc>
        <w:tc>
          <w:tcPr>
            <w:tcW w:type="dxa" w:w="2477"/>
            <w:vAlign w:val="center"/>
            <w:tcMar>
              <w:top w:w="65" w:type="dxa"/>
              <w:start w:w="85" w:type="dxa"/>
              <w:bottom w:w="65" w:type="dxa"/>
              <w:end w:w="85" w:type="dxa"/>
            </w:tcMar>
          </w:tcPr>
          <w:p>
            <w:pPr>
              <w:jc w:val="center"/>
            </w:pPr>
            <w:r>
              <w:rPr>
                <w:rFonts w:ascii="Aptos" w:hAnsi="Aptos"/>
                <w:sz w:val="15"/>
              </w:rPr>
              <w:t>Align proxy to teacher</w:t>
            </w:r>
          </w:p>
        </w:tc>
        <w:tc>
          <w:tcPr>
            <w:tcW w:type="dxa" w:w="2693"/>
            <w:vAlign w:val="center"/>
            <w:tcMar>
              <w:top w:w="65" w:type="dxa"/>
              <w:start w:w="85" w:type="dxa"/>
              <w:bottom w:w="65" w:type="dxa"/>
              <w:end w:w="85" w:type="dxa"/>
            </w:tcMar>
          </w:tcPr>
          <w:p>
            <w:pPr>
              <w:jc w:val="center"/>
            </w:pPr>
            <w:r>
              <w:rPr>
                <w:rFonts w:ascii="Aptos" w:hAnsi="Aptos"/>
                <w:sz w:val="15"/>
              </w:rPr>
              <w:t>49% → 94% calibration Top-1</w:t>
            </w:r>
          </w:p>
        </w:tc>
      </w:tr>
      <w:tr>
        <w:tc>
          <w:tcPr>
            <w:tcW w:type="dxa" w:w="1037"/>
            <w:shd w:fill="F4F6F8"/>
            <w:vAlign w:val="center"/>
            <w:tcMar>
              <w:top w:w="65" w:type="dxa"/>
              <w:start w:w="85" w:type="dxa"/>
              <w:bottom w:w="65" w:type="dxa"/>
              <w:end w:w="85" w:type="dxa"/>
            </w:tcMar>
          </w:tcPr>
          <w:p>
            <w:pPr>
              <w:jc w:val="left"/>
            </w:pPr>
            <w:r>
              <w:rPr>
                <w:rFonts w:ascii="Aptos" w:hAnsi="Aptos"/>
                <w:sz w:val="15"/>
              </w:rPr>
              <w:t>SFT</w:t>
            </w:r>
          </w:p>
        </w:tc>
        <w:tc>
          <w:tcPr>
            <w:tcW w:type="dxa" w:w="2477"/>
            <w:shd w:fill="F4F6F8"/>
            <w:vAlign w:val="center"/>
            <w:tcMar>
              <w:top w:w="65" w:type="dxa"/>
              <w:start w:w="85" w:type="dxa"/>
              <w:bottom w:w="65" w:type="dxa"/>
              <w:end w:w="85" w:type="dxa"/>
            </w:tcMar>
          </w:tcPr>
          <w:p>
            <w:pPr>
              <w:jc w:val="center"/>
            </w:pPr>
            <w:r>
              <w:rPr>
                <w:rFonts w:ascii="Aptos" w:hAnsi="Aptos"/>
                <w:sz w:val="15"/>
              </w:rPr>
              <w:t>2B BF16 LoRA</w:t>
            </w:r>
          </w:p>
        </w:tc>
        <w:tc>
          <w:tcPr>
            <w:tcW w:type="dxa" w:w="2477"/>
            <w:shd w:fill="F4F6F8"/>
            <w:vAlign w:val="center"/>
            <w:tcMar>
              <w:top w:w="65" w:type="dxa"/>
              <w:start w:w="85" w:type="dxa"/>
              <w:bottom w:w="65" w:type="dxa"/>
              <w:end w:w="85" w:type="dxa"/>
            </w:tcMar>
          </w:tcPr>
          <w:p>
            <w:pPr>
              <w:jc w:val="center"/>
            </w:pPr>
            <w:r>
              <w:rPr>
                <w:rFonts w:ascii="Aptos" w:hAnsi="Aptos"/>
                <w:sz w:val="15"/>
              </w:rPr>
              <w:t>Test smaller-model hypothesis</w:t>
            </w:r>
          </w:p>
        </w:tc>
        <w:tc>
          <w:tcPr>
            <w:tcW w:type="dxa" w:w="2693"/>
            <w:shd w:fill="F4F6F8"/>
            <w:vAlign w:val="center"/>
            <w:tcMar>
              <w:top w:w="65" w:type="dxa"/>
              <w:start w:w="85" w:type="dxa"/>
              <w:bottom w:w="65" w:type="dxa"/>
              <w:end w:w="85" w:type="dxa"/>
            </w:tcMar>
          </w:tcPr>
          <w:p>
            <w:pPr>
              <w:jc w:val="center"/>
            </w:pPr>
            <w:r>
              <w:rPr>
                <w:rFonts w:ascii="Aptos" w:hAnsi="Aptos"/>
                <w:sz w:val="15"/>
              </w:rPr>
              <w:t>22% → 84% golden Top-1</w:t>
            </w:r>
          </w:p>
        </w:tc>
      </w:tr>
      <w:tr>
        <w:tc>
          <w:tcPr>
            <w:tcW w:type="dxa" w:w="1037"/>
            <w:vAlign w:val="center"/>
            <w:tcMar>
              <w:top w:w="65" w:type="dxa"/>
              <w:start w:w="85" w:type="dxa"/>
              <w:bottom w:w="65" w:type="dxa"/>
              <w:end w:w="85" w:type="dxa"/>
            </w:tcMar>
          </w:tcPr>
          <w:p>
            <w:pPr>
              <w:jc w:val="left"/>
            </w:pPr>
            <w:r>
              <w:rPr>
                <w:rFonts w:ascii="Aptos" w:hAnsi="Aptos"/>
                <w:sz w:val="15"/>
              </w:rPr>
              <w:t>GRPO</w:t>
            </w:r>
          </w:p>
        </w:tc>
        <w:tc>
          <w:tcPr>
            <w:tcW w:type="dxa" w:w="2477"/>
            <w:vAlign w:val="center"/>
            <w:tcMar>
              <w:top w:w="65" w:type="dxa"/>
              <w:start w:w="85" w:type="dxa"/>
              <w:bottom w:w="65" w:type="dxa"/>
              <w:end w:w="85" w:type="dxa"/>
            </w:tcMar>
          </w:tcPr>
          <w:p>
            <w:pPr>
              <w:jc w:val="center"/>
            </w:pPr>
            <w:r>
              <w:rPr>
                <w:rFonts w:ascii="Aptos" w:hAnsi="Aptos"/>
                <w:sz w:val="15"/>
              </w:rPr>
              <w:t>10-step continuation</w:t>
            </w:r>
          </w:p>
        </w:tc>
        <w:tc>
          <w:tcPr>
            <w:tcW w:type="dxa" w:w="2477"/>
            <w:vAlign w:val="center"/>
            <w:tcMar>
              <w:top w:w="65" w:type="dxa"/>
              <w:start w:w="85" w:type="dxa"/>
              <w:bottom w:w="65" w:type="dxa"/>
              <w:end w:w="85" w:type="dxa"/>
            </w:tcMar>
          </w:tcPr>
          <w:p>
            <w:pPr>
              <w:jc w:val="center"/>
            </w:pPr>
            <w:r>
              <w:rPr>
                <w:rFonts w:ascii="Aptos" w:hAnsi="Aptos"/>
                <w:sz w:val="15"/>
              </w:rPr>
              <w:t>Test reward optimization</w:t>
            </w:r>
          </w:p>
        </w:tc>
        <w:tc>
          <w:tcPr>
            <w:tcW w:type="dxa" w:w="2693"/>
            <w:vAlign w:val="center"/>
            <w:tcMar>
              <w:top w:w="65" w:type="dxa"/>
              <w:start w:w="85" w:type="dxa"/>
              <w:bottom w:w="65" w:type="dxa"/>
              <w:end w:w="85" w:type="dxa"/>
            </w:tcMar>
          </w:tcPr>
          <w:p>
            <w:pPr>
              <w:jc w:val="center"/>
            </w:pPr>
            <w:r>
              <w:rPr>
                <w:rFonts w:ascii="Aptos" w:hAnsi="Aptos"/>
                <w:sz w:val="15"/>
              </w:rPr>
              <w:t>84% Top-1; no broad gain</w:t>
            </w:r>
          </w:p>
        </w:tc>
      </w:tr>
      <w:tr>
        <w:tc>
          <w:tcPr>
            <w:tcW w:type="dxa" w:w="1037"/>
            <w:shd w:fill="F4F6F8"/>
            <w:vAlign w:val="center"/>
            <w:tcMar>
              <w:top w:w="65" w:type="dxa"/>
              <w:start w:w="85" w:type="dxa"/>
              <w:bottom w:w="65" w:type="dxa"/>
              <w:end w:w="85" w:type="dxa"/>
            </w:tcMar>
          </w:tcPr>
          <w:p>
            <w:pPr>
              <w:jc w:val="left"/>
            </w:pPr>
            <w:r>
              <w:rPr>
                <w:rFonts w:ascii="Aptos" w:hAnsi="Aptos"/>
                <w:sz w:val="15"/>
              </w:rPr>
              <w:t>Serving</w:t>
            </w:r>
          </w:p>
        </w:tc>
        <w:tc>
          <w:tcPr>
            <w:tcW w:type="dxa" w:w="2477"/>
            <w:shd w:fill="F4F6F8"/>
            <w:vAlign w:val="center"/>
            <w:tcMar>
              <w:top w:w="65" w:type="dxa"/>
              <w:start w:w="85" w:type="dxa"/>
              <w:bottom w:w="65" w:type="dxa"/>
              <w:end w:w="85" w:type="dxa"/>
            </w:tcMar>
          </w:tcPr>
          <w:p>
            <w:pPr>
              <w:jc w:val="center"/>
            </w:pPr>
            <w:r>
              <w:rPr>
                <w:rFonts w:ascii="Aptos" w:hAnsi="Aptos"/>
                <w:sz w:val="15"/>
              </w:rPr>
              <w:t>RTX 4090 vLLM benchmark</w:t>
            </w:r>
          </w:p>
        </w:tc>
        <w:tc>
          <w:tcPr>
            <w:tcW w:type="dxa" w:w="2477"/>
            <w:shd w:fill="F4F6F8"/>
            <w:vAlign w:val="center"/>
            <w:tcMar>
              <w:top w:w="65" w:type="dxa"/>
              <w:start w:w="85" w:type="dxa"/>
              <w:bottom w:w="65" w:type="dxa"/>
              <w:end w:w="85" w:type="dxa"/>
            </w:tcMar>
          </w:tcPr>
          <w:p>
            <w:pPr>
              <w:jc w:val="center"/>
            </w:pPr>
            <w:r>
              <w:rPr>
                <w:rFonts w:ascii="Aptos" w:hAnsi="Aptos"/>
                <w:sz w:val="15"/>
              </w:rPr>
              <w:t>Measure deployability</w:t>
            </w:r>
          </w:p>
        </w:tc>
        <w:tc>
          <w:tcPr>
            <w:tcW w:type="dxa" w:w="2693"/>
            <w:shd w:fill="F4F6F8"/>
            <w:vAlign w:val="center"/>
            <w:tcMar>
              <w:top w:w="65" w:type="dxa"/>
              <w:start w:w="85" w:type="dxa"/>
              <w:bottom w:w="65" w:type="dxa"/>
              <w:end w:w="85" w:type="dxa"/>
            </w:tcMar>
          </w:tcPr>
          <w:p>
            <w:pPr>
              <w:jc w:val="center"/>
            </w:pPr>
            <w:r>
              <w:rPr>
                <w:rFonts w:ascii="Aptos" w:hAnsi="Aptos"/>
                <w:sz w:val="15"/>
              </w:rPr>
              <w:t>63.66 rec/s at c64</w:t>
            </w:r>
          </w:p>
        </w:tc>
      </w:tr>
    </w:tbl>
    <w:p>
      <w:pPr>
        <w:spacing w:after="20"/>
        <w:jc w:val="center"/>
      </w:pPr>
      <w:r>
        <w:drawing>
          <wp:inline xmlns:a="http://schemas.openxmlformats.org/drawingml/2006/main" xmlns:pic="http://schemas.openxmlformats.org/drawingml/2006/picture">
            <wp:extent cx="5989320" cy="2695405"/>
            <wp:docPr id="1" name="Picture 1"/>
            <wp:cNvGraphicFramePr>
              <a:graphicFrameLocks noChangeAspect="1"/>
            </wp:cNvGraphicFramePr>
            <a:graphic>
              <a:graphicData uri="http://schemas.openxmlformats.org/drawingml/2006/picture">
                <pic:pic>
                  <pic:nvPicPr>
                    <pic:cNvPr id="0" name="01-dataset-funnel-and-splits.png"/>
                    <pic:cNvPicPr/>
                  </pic:nvPicPr>
                  <pic:blipFill>
                    <a:blip r:embed="rId11"/>
                    <a:stretch>
                      <a:fillRect/>
                    </a:stretch>
                  </pic:blipFill>
                  <pic:spPr>
                    <a:xfrm>
                      <a:off x="0" y="0"/>
                      <a:ext cx="5989320" cy="2695405"/>
                    </a:xfrm>
                    <a:prstGeom prst="rect"/>
                  </pic:spPr>
                </pic:pic>
              </a:graphicData>
            </a:graphic>
          </wp:inline>
        </w:drawing>
      </w:r>
    </w:p>
    <w:p>
      <w:pPr>
        <w:pStyle w:val="Caption"/>
        <w:jc w:val="center"/>
      </w:pPr>
      <w:r>
        <w:t>Leakage-safe path from generated risks to training and evaluation</w:t>
      </w:r>
    </w:p>
    <w:p>
      <w:pPr>
        <w:pStyle w:val="SourceNote"/>
      </w:pPr>
      <w:r>
        <w:t>Context: the supplied Qwen3.5-9B reference scored 42% Top-1. The trained-model improvement reported here is correctly measured from our unchanged 2B base (22%) to our 2B SFT model (84%).</w:t>
      </w:r>
    </w:p>
    <w:p>
      <w:r>
        <w:br w:type="page"/>
      </w:r>
    </w:p>
    <w:p>
      <w:pPr>
        <w:spacing w:after="20"/>
      </w:pPr>
      <w:r>
        <w:rPr>
          <w:b/>
          <w:color w:val="1C8E8E"/>
          <w:sz w:val="15"/>
        </w:rPr>
        <w:t>02 / TASK / WHAT / WHY / RESULT</w:t>
      </w:r>
    </w:p>
    <w:p>
      <w:pPr>
        <w:pStyle w:val="Heading1"/>
      </w:pPr>
      <w:r>
        <w:t>Data and reward: make the objective trustworthy</w:t>
      </w:r>
    </w:p>
    <w:p>
      <w:pPr>
        <w:spacing w:before="20" w:after="80"/>
        <w:pBdr>
          <w:bottom w:val="single" w:sz="18" w:space="1" w:color="1C8E8E"/>
        </w:pBdr>
      </w:pP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1512"/>
            <w:shd w:fill="183153"/>
            <w:vAlign w:val="center"/>
            <w:tcMar>
              <w:top w:w="70" w:type="dxa"/>
              <w:start w:w="85" w:type="dxa"/>
              <w:bottom w:w="70" w:type="dxa"/>
              <w:end w:w="85" w:type="dxa"/>
            </w:tcMar>
          </w:tcPr>
          <w:p>
            <w:pPr>
              <w:jc w:val="center"/>
            </w:pPr>
            <w:r>
              <w:rPr>
                <w:rFonts w:ascii="Aptos" w:hAnsi="Aptos"/>
                <w:b/>
                <w:color w:val="FFFFFF"/>
                <w:sz w:val="15"/>
              </w:rPr>
              <w:t>Task</w:t>
            </w:r>
          </w:p>
        </w:tc>
        <w:tc>
          <w:tcPr>
            <w:tcW w:type="dxa" w:w="2880"/>
            <w:shd w:fill="183153"/>
            <w:vAlign w:val="center"/>
            <w:tcMar>
              <w:top w:w="70" w:type="dxa"/>
              <w:start w:w="85" w:type="dxa"/>
              <w:bottom w:w="70" w:type="dxa"/>
              <w:end w:w="85" w:type="dxa"/>
            </w:tcMar>
          </w:tcPr>
          <w:p>
            <w:pPr>
              <w:jc w:val="center"/>
            </w:pPr>
            <w:r>
              <w:rPr>
                <w:rFonts w:ascii="Aptos" w:hAnsi="Aptos"/>
                <w:b/>
                <w:color w:val="FFFFFF"/>
                <w:sz w:val="15"/>
              </w:rPr>
              <w:t>What we did</w:t>
            </w:r>
          </w:p>
        </w:tc>
        <w:tc>
          <w:tcPr>
            <w:tcW w:type="dxa" w:w="2880"/>
            <w:shd w:fill="183153"/>
            <w:vAlign w:val="center"/>
            <w:tcMar>
              <w:top w:w="70" w:type="dxa"/>
              <w:start w:w="85" w:type="dxa"/>
              <w:bottom w:w="70" w:type="dxa"/>
              <w:end w:w="85" w:type="dxa"/>
            </w:tcMar>
          </w:tcPr>
          <w:p>
            <w:pPr>
              <w:jc w:val="center"/>
            </w:pPr>
            <w:r>
              <w:rPr>
                <w:rFonts w:ascii="Aptos" w:hAnsi="Aptos"/>
                <w:b/>
                <w:color w:val="FFFFFF"/>
                <w:sz w:val="15"/>
              </w:rPr>
              <w:t>Why this way</w:t>
            </w:r>
          </w:p>
        </w:tc>
        <w:tc>
          <w:tcPr>
            <w:tcW w:type="dxa" w:w="2088"/>
            <w:shd w:fill="183153"/>
            <w:vAlign w:val="center"/>
            <w:tcMar>
              <w:top w:w="70" w:type="dxa"/>
              <w:start w:w="85" w:type="dxa"/>
              <w:bottom w:w="70" w:type="dxa"/>
              <w:end w:w="85" w:type="dxa"/>
            </w:tcMar>
          </w:tcPr>
          <w:p>
            <w:pPr>
              <w:jc w:val="center"/>
            </w:pPr>
            <w:r>
              <w:rPr>
                <w:rFonts w:ascii="Aptos" w:hAnsi="Aptos"/>
                <w:b/>
                <w:color w:val="FFFFFF"/>
                <w:sz w:val="15"/>
              </w:rPr>
              <w:t>What we got</w:t>
            </w:r>
          </w:p>
        </w:tc>
      </w:tr>
      <w:tr>
        <w:tc>
          <w:tcPr>
            <w:tcW w:type="dxa" w:w="1512"/>
            <w:vAlign w:val="center"/>
            <w:tcMar>
              <w:top w:w="65" w:type="dxa"/>
              <w:start w:w="85" w:type="dxa"/>
              <w:bottom w:w="65" w:type="dxa"/>
              <w:end w:w="85" w:type="dxa"/>
            </w:tcMar>
          </w:tcPr>
          <w:p>
            <w:pPr>
              <w:jc w:val="left"/>
            </w:pPr>
            <w:r>
              <w:rPr>
                <w:rFonts w:ascii="Aptos" w:hAnsi="Aptos"/>
                <w:sz w:val="15"/>
              </w:rPr>
              <w:t>Build supervision</w:t>
            </w:r>
          </w:p>
        </w:tc>
        <w:tc>
          <w:tcPr>
            <w:tcW w:type="dxa" w:w="2880"/>
            <w:vAlign w:val="center"/>
            <w:tcMar>
              <w:top w:w="65" w:type="dxa"/>
              <w:start w:w="85" w:type="dxa"/>
              <w:bottom w:w="65" w:type="dxa"/>
              <w:end w:w="85" w:type="dxa"/>
            </w:tcMar>
          </w:tcPr>
          <w:p>
            <w:pPr>
              <w:jc w:val="center"/>
            </w:pPr>
            <w:r>
              <w:rPr>
                <w:rFonts w:ascii="Aptos" w:hAnsi="Aptos"/>
                <w:sz w:val="15"/>
              </w:rPr>
              <w:t>2,000 quote-engine requests; GPT-6 Sol labelled the 1,490 usable panels</w:t>
            </w:r>
          </w:p>
        </w:tc>
        <w:tc>
          <w:tcPr>
            <w:tcW w:type="dxa" w:w="2880"/>
            <w:vAlign w:val="center"/>
            <w:tcMar>
              <w:top w:w="65" w:type="dxa"/>
              <w:start w:w="85" w:type="dxa"/>
              <w:bottom w:w="65" w:type="dxa"/>
              <w:end w:w="85" w:type="dxa"/>
            </w:tcMar>
          </w:tcPr>
          <w:p>
            <w:pPr>
              <w:jc w:val="center"/>
            </w:pPr>
            <w:r>
              <w:rPr>
                <w:rFonts w:ascii="Aptos" w:hAnsi="Aptos"/>
                <w:sz w:val="15"/>
              </w:rPr>
              <w:t>Real quote panels preserve product trade-offs; silver labels scale cheaply</w:t>
            </w:r>
          </w:p>
        </w:tc>
        <w:tc>
          <w:tcPr>
            <w:tcW w:type="dxa" w:w="2088"/>
            <w:vAlign w:val="center"/>
            <w:tcMar>
              <w:top w:w="65" w:type="dxa"/>
              <w:start w:w="85" w:type="dxa"/>
              <w:bottom w:w="65" w:type="dxa"/>
              <w:end w:w="85" w:type="dxa"/>
            </w:tcMar>
          </w:tcPr>
          <w:p>
            <w:pPr>
              <w:jc w:val="center"/>
            </w:pPr>
            <w:r>
              <w:rPr>
                <w:rFonts w:ascii="Aptos" w:hAnsi="Aptos"/>
                <w:sz w:val="15"/>
              </w:rPr>
              <w:t>9,632 tariff offers returned; five insurers; nine tariffs; disjoint splits; zero golden-risk overlap</w:t>
            </w:r>
          </w:p>
        </w:tc>
      </w:tr>
    </w:tbl>
    <w:p>
      <w:pPr>
        <w:spacing w:after="20"/>
        <w:jc w:val="center"/>
      </w:pPr>
      <w:r>
        <w:drawing>
          <wp:inline xmlns:a="http://schemas.openxmlformats.org/drawingml/2006/main" xmlns:pic="http://schemas.openxmlformats.org/drawingml/2006/picture">
            <wp:extent cx="5989320" cy="3334933"/>
            <wp:docPr id="2" name="Picture 2"/>
            <wp:cNvGraphicFramePr>
              <a:graphicFrameLocks noChangeAspect="1"/>
            </wp:cNvGraphicFramePr>
            <a:graphic>
              <a:graphicData uri="http://schemas.openxmlformats.org/drawingml/2006/picture">
                <pic:pic>
                  <pic:nvPicPr>
                    <pic:cNvPr id="0" name="03-reward-calibration.png"/>
                    <pic:cNvPicPr/>
                  </pic:nvPicPr>
                  <pic:blipFill>
                    <a:blip r:embed="rId12"/>
                    <a:stretch>
                      <a:fillRect/>
                    </a:stretch>
                  </pic:blipFill>
                  <pic:spPr>
                    <a:xfrm>
                      <a:off x="0" y="0"/>
                      <a:ext cx="5989320" cy="3334933"/>
                    </a:xfrm>
                    <a:prstGeom prst="rect"/>
                  </pic:spPr>
                </pic:pic>
              </a:graphicData>
            </a:graphic>
          </wp:inline>
        </w:drawing>
      </w:r>
    </w:p>
    <w:p>
      <w:pPr>
        <w:pStyle w:val="Caption"/>
        <w:jc w:val="center"/>
      </w:pPr>
      <w:r>
        <w:t>Reward search on the 200-scenario calibration split</w:t>
      </w:r>
    </w:p>
    <w:p>
      <w:pPr>
        <w:pStyle w:val="Heading2"/>
      </w:pPr>
      <w:r>
        <w:t>What the reward audit changed</w:t>
      </w:r>
    </w:p>
    <w:p>
      <w:pPr>
        <w:pStyle w:val="SmallBody"/>
      </w:pPr>
      <w:r>
        <w:t>Within panels, coverage count and deductible did not vary; coverage score and annual price carried the consistent ranking signal. A deterministic 20,000-candidate search selected a quality–price curve without LLM calls or golden labels: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70"/>
      </w:tblGrid>
      <w:tr>
        <w:tc>
          <w:tcPr>
            <w:tcW w:type="dxa" w:w="10570"/>
            <w:shd w:fill="F4F6F8"/>
            <w:tcMar>
              <w:top w:w="105" w:type="dxa"/>
              <w:start w:w="125" w:type="dxa"/>
              <w:bottom w:w="105" w:type="dxa"/>
              <w:end w:w="125" w:type="dxa"/>
            </w:tcMar>
          </w:tcPr>
          <w:p>
            <w:pPr>
              <w:spacing w:after="40"/>
            </w:pPr>
            <w:r>
              <w:rPr>
                <w:b/>
                <w:color w:val="183153"/>
              </w:rPr>
              <w:t>Frozen symbolic score</w:t>
            </w:r>
          </w:p>
          <w:p>
            <w:pPr>
              <w:spacing w:after="0"/>
            </w:pPr>
            <w:r>
              <w:t>reward = (0.2863 + 0.4273 × normalized coverage score) / (1 + 1.7936 × normalized price)</w:t>
            </w:r>
          </w:p>
        </w:tc>
      </w:tr>
    </w:tbl>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808"/>
            <w:shd w:fill="183153"/>
            <w:vAlign w:val="center"/>
            <w:tcMar>
              <w:top w:w="70" w:type="dxa"/>
              <w:start w:w="85" w:type="dxa"/>
              <w:bottom w:w="70" w:type="dxa"/>
              <w:end w:w="85" w:type="dxa"/>
            </w:tcMar>
          </w:tcPr>
          <w:p>
            <w:pPr>
              <w:jc w:val="center"/>
            </w:pPr>
            <w:r>
              <w:rPr>
                <w:rFonts w:ascii="Aptos" w:hAnsi="Aptos"/>
                <w:b/>
                <w:color w:val="FFFFFF"/>
                <w:sz w:val="15"/>
              </w:rPr>
              <w:t>Method on golden</w:t>
            </w:r>
          </w:p>
        </w:tc>
        <w:tc>
          <w:tcPr>
            <w:tcW w:type="dxa" w:w="1440"/>
            <w:shd w:fill="183153"/>
            <w:vAlign w:val="center"/>
            <w:tcMar>
              <w:top w:w="70" w:type="dxa"/>
              <w:start w:w="85" w:type="dxa"/>
              <w:bottom w:w="70" w:type="dxa"/>
              <w:end w:w="85" w:type="dxa"/>
            </w:tcMar>
          </w:tcPr>
          <w:p>
            <w:pPr>
              <w:jc w:val="center"/>
            </w:pPr>
            <w:r>
              <w:rPr>
                <w:rFonts w:ascii="Aptos" w:hAnsi="Aptos"/>
                <w:b/>
                <w:color w:val="FFFFFF"/>
                <w:sz w:val="15"/>
              </w:rPr>
              <w:t>Top-1</w:t>
            </w:r>
          </w:p>
        </w:tc>
        <w:tc>
          <w:tcPr>
            <w:tcW w:type="dxa" w:w="1512"/>
            <w:shd w:fill="183153"/>
            <w:vAlign w:val="center"/>
            <w:tcMar>
              <w:top w:w="70" w:type="dxa"/>
              <w:start w:w="85" w:type="dxa"/>
              <w:bottom w:w="70" w:type="dxa"/>
              <w:end w:w="85" w:type="dxa"/>
            </w:tcMar>
          </w:tcPr>
          <w:p>
            <w:pPr>
              <w:jc w:val="center"/>
            </w:pPr>
            <w:r>
              <w:rPr>
                <w:rFonts w:ascii="Aptos" w:hAnsi="Aptos"/>
                <w:b/>
                <w:color w:val="FFFFFF"/>
                <w:sz w:val="15"/>
              </w:rPr>
              <w:t>Top-3 hits</w:t>
            </w:r>
          </w:p>
        </w:tc>
        <w:tc>
          <w:tcPr>
            <w:tcW w:type="dxa" w:w="1512"/>
            <w:shd w:fill="183153"/>
            <w:vAlign w:val="center"/>
            <w:tcMar>
              <w:top w:w="70" w:type="dxa"/>
              <w:start w:w="85" w:type="dxa"/>
              <w:bottom w:w="70" w:type="dxa"/>
              <w:end w:w="85" w:type="dxa"/>
            </w:tcMar>
          </w:tcPr>
          <w:p>
            <w:pPr>
              <w:jc w:val="center"/>
            </w:pPr>
            <w:r>
              <w:rPr>
                <w:rFonts w:ascii="Aptos" w:hAnsi="Aptos"/>
                <w:b/>
                <w:color w:val="FFFFFF"/>
                <w:sz w:val="15"/>
              </w:rPr>
              <w:t>Top-3 recall</w:t>
            </w:r>
          </w:p>
        </w:tc>
        <w:tc>
          <w:tcPr>
            <w:tcW w:type="dxa" w:w="1512"/>
            <w:shd w:fill="183153"/>
            <w:vAlign w:val="center"/>
            <w:tcMar>
              <w:top w:w="70" w:type="dxa"/>
              <w:start w:w="85" w:type="dxa"/>
              <w:bottom w:w="70" w:type="dxa"/>
              <w:end w:w="85" w:type="dxa"/>
            </w:tcMar>
          </w:tcPr>
          <w:p>
            <w:pPr>
              <w:jc w:val="center"/>
            </w:pPr>
            <w:r>
              <w:rPr>
                <w:rFonts w:ascii="Aptos" w:hAnsi="Aptos"/>
                <w:b/>
                <w:color w:val="FFFFFF"/>
                <w:sz w:val="15"/>
              </w:rPr>
              <w:t>Inference</w:t>
            </w:r>
          </w:p>
        </w:tc>
      </w:tr>
      <w:tr>
        <w:tc>
          <w:tcPr>
            <w:tcW w:type="dxa" w:w="2808"/>
            <w:vAlign w:val="center"/>
            <w:tcMar>
              <w:top w:w="65" w:type="dxa"/>
              <w:start w:w="85" w:type="dxa"/>
              <w:bottom w:w="65" w:type="dxa"/>
              <w:end w:w="85" w:type="dxa"/>
            </w:tcMar>
          </w:tcPr>
          <w:p>
            <w:pPr>
              <w:jc w:val="left"/>
            </w:pPr>
            <w:r>
              <w:rPr>
                <w:rFonts w:ascii="Aptos" w:hAnsi="Aptos"/>
                <w:sz w:val="15"/>
              </w:rPr>
              <w:t>Calibrated symbolic argmax</w:t>
            </w:r>
          </w:p>
        </w:tc>
        <w:tc>
          <w:tcPr>
            <w:tcW w:type="dxa" w:w="1440"/>
            <w:vAlign w:val="center"/>
            <w:tcMar>
              <w:top w:w="65" w:type="dxa"/>
              <w:start w:w="85" w:type="dxa"/>
              <w:bottom w:w="65" w:type="dxa"/>
              <w:end w:w="85" w:type="dxa"/>
            </w:tcMar>
          </w:tcPr>
          <w:p>
            <w:pPr>
              <w:jc w:val="center"/>
            </w:pPr>
            <w:r>
              <w:rPr>
                <w:rFonts w:ascii="Aptos" w:hAnsi="Aptos"/>
                <w:sz w:val="15"/>
              </w:rPr>
              <w:t>42/50 (84%)</w:t>
            </w:r>
          </w:p>
        </w:tc>
        <w:tc>
          <w:tcPr>
            <w:tcW w:type="dxa" w:w="1512"/>
            <w:vAlign w:val="center"/>
            <w:tcMar>
              <w:top w:w="65" w:type="dxa"/>
              <w:start w:w="85" w:type="dxa"/>
              <w:bottom w:w="65" w:type="dxa"/>
              <w:end w:w="85" w:type="dxa"/>
            </w:tcMar>
          </w:tcPr>
          <w:p>
            <w:pPr>
              <w:jc w:val="center"/>
            </w:pPr>
            <w:r>
              <w:rPr>
                <w:rFonts w:ascii="Aptos" w:hAnsi="Aptos"/>
                <w:sz w:val="15"/>
              </w:rPr>
              <w:t>119/150</w:t>
            </w:r>
          </w:p>
        </w:tc>
        <w:tc>
          <w:tcPr>
            <w:tcW w:type="dxa" w:w="1512"/>
            <w:vAlign w:val="center"/>
            <w:tcMar>
              <w:top w:w="65" w:type="dxa"/>
              <w:start w:w="85" w:type="dxa"/>
              <w:bottom w:w="65" w:type="dxa"/>
              <w:end w:w="85" w:type="dxa"/>
            </w:tcMar>
          </w:tcPr>
          <w:p>
            <w:pPr>
              <w:jc w:val="center"/>
            </w:pPr>
            <w:r>
              <w:rPr>
                <w:rFonts w:ascii="Aptos" w:hAnsi="Aptos"/>
                <w:sz w:val="15"/>
              </w:rPr>
              <w:t>79.3%</w:t>
            </w:r>
          </w:p>
        </w:tc>
        <w:tc>
          <w:tcPr>
            <w:tcW w:type="dxa" w:w="1512"/>
            <w:vAlign w:val="center"/>
            <w:tcMar>
              <w:top w:w="65" w:type="dxa"/>
              <w:start w:w="85" w:type="dxa"/>
              <w:bottom w:w="65" w:type="dxa"/>
              <w:end w:w="85" w:type="dxa"/>
            </w:tcMar>
          </w:tcPr>
          <w:p>
            <w:pPr>
              <w:jc w:val="center"/>
            </w:pPr>
            <w:r>
              <w:rPr>
                <w:rFonts w:ascii="Aptos" w:hAnsi="Aptos"/>
                <w:sz w:val="15"/>
              </w:rPr>
              <w:t>None</w:t>
            </w:r>
          </w:p>
        </w:tc>
      </w:tr>
      <w:tr>
        <w:tc>
          <w:tcPr>
            <w:tcW w:type="dxa" w:w="2808"/>
            <w:shd w:fill="F4F6F8"/>
            <w:vAlign w:val="center"/>
            <w:tcMar>
              <w:top w:w="65" w:type="dxa"/>
              <w:start w:w="85" w:type="dxa"/>
              <w:bottom w:w="65" w:type="dxa"/>
              <w:end w:w="85" w:type="dxa"/>
            </w:tcMar>
          </w:tcPr>
          <w:p>
            <w:pPr>
              <w:jc w:val="left"/>
            </w:pPr>
            <w:r>
              <w:rPr>
                <w:rFonts w:ascii="Aptos" w:hAnsi="Aptos"/>
                <w:sz w:val="15"/>
              </w:rPr>
              <w:t>Selected 2B SFT</w:t>
            </w:r>
          </w:p>
        </w:tc>
        <w:tc>
          <w:tcPr>
            <w:tcW w:type="dxa" w:w="1440"/>
            <w:shd w:fill="F4F6F8"/>
            <w:vAlign w:val="center"/>
            <w:tcMar>
              <w:top w:w="65" w:type="dxa"/>
              <w:start w:w="85" w:type="dxa"/>
              <w:bottom w:w="65" w:type="dxa"/>
              <w:end w:w="85" w:type="dxa"/>
            </w:tcMar>
          </w:tcPr>
          <w:p>
            <w:pPr>
              <w:jc w:val="center"/>
            </w:pPr>
            <w:r>
              <w:rPr>
                <w:rFonts w:ascii="Aptos" w:hAnsi="Aptos"/>
                <w:sz w:val="15"/>
              </w:rPr>
              <w:t>42/50 (84%)</w:t>
            </w:r>
          </w:p>
        </w:tc>
        <w:tc>
          <w:tcPr>
            <w:tcW w:type="dxa" w:w="1512"/>
            <w:shd w:fill="F4F6F8"/>
            <w:vAlign w:val="center"/>
            <w:tcMar>
              <w:top w:w="65" w:type="dxa"/>
              <w:start w:w="85" w:type="dxa"/>
              <w:bottom w:w="65" w:type="dxa"/>
              <w:end w:w="85" w:type="dxa"/>
            </w:tcMar>
          </w:tcPr>
          <w:p>
            <w:pPr>
              <w:jc w:val="center"/>
            </w:pPr>
            <w:r>
              <w:rPr>
                <w:rFonts w:ascii="Aptos" w:hAnsi="Aptos"/>
                <w:sz w:val="15"/>
              </w:rPr>
              <w:t>130/150</w:t>
            </w:r>
          </w:p>
        </w:tc>
        <w:tc>
          <w:tcPr>
            <w:tcW w:type="dxa" w:w="1512"/>
            <w:shd w:fill="F4F6F8"/>
            <w:vAlign w:val="center"/>
            <w:tcMar>
              <w:top w:w="65" w:type="dxa"/>
              <w:start w:w="85" w:type="dxa"/>
              <w:bottom w:w="65" w:type="dxa"/>
              <w:end w:w="85" w:type="dxa"/>
            </w:tcMar>
          </w:tcPr>
          <w:p>
            <w:pPr>
              <w:jc w:val="center"/>
            </w:pPr>
            <w:r>
              <w:rPr>
                <w:rFonts w:ascii="Aptos" w:hAnsi="Aptos"/>
                <w:sz w:val="15"/>
              </w:rPr>
              <w:t>86.7%</w:t>
            </w:r>
          </w:p>
        </w:tc>
        <w:tc>
          <w:tcPr>
            <w:tcW w:type="dxa" w:w="1512"/>
            <w:shd w:fill="F4F6F8"/>
            <w:vAlign w:val="center"/>
            <w:tcMar>
              <w:top w:w="65" w:type="dxa"/>
              <w:start w:w="85" w:type="dxa"/>
              <w:bottom w:w="65" w:type="dxa"/>
              <w:end w:w="85" w:type="dxa"/>
            </w:tcMar>
          </w:tcPr>
          <w:p>
            <w:pPr>
              <w:jc w:val="center"/>
            </w:pPr>
            <w:r>
              <w:rPr>
                <w:rFonts w:ascii="Aptos" w:hAnsi="Aptos"/>
                <w:sz w:val="15"/>
              </w:rPr>
              <w:t>Required</w:t>
            </w:r>
          </w:p>
        </w:tc>
      </w:tr>
    </w:tbl>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70"/>
      </w:tblGrid>
      <w:tr>
        <w:tc>
          <w:tcPr>
            <w:tcW w:type="dxa" w:w="10570"/>
            <w:shd w:fill="EEF4FB"/>
            <w:tcMar>
              <w:top w:w="105" w:type="dxa"/>
              <w:start w:w="125" w:type="dxa"/>
              <w:bottom w:w="105" w:type="dxa"/>
              <w:end w:w="125" w:type="dxa"/>
            </w:tcMar>
          </w:tcPr>
          <w:p>
            <w:pPr>
              <w:spacing w:after="40"/>
            </w:pPr>
            <w:r>
              <w:rPr>
                <w:b/>
                <w:color w:val="183153"/>
              </w:rPr>
              <w:t>Why not deploy only the zero-cost scorer?</w:t>
            </w:r>
          </w:p>
          <w:p>
            <w:pPr>
              <w:spacing w:after="0"/>
            </w:pPr>
            <w:r>
              <w:t>For a Top-1-only product, it is a compelling simpler baseline. The assignment requires a ranked Top-3: SFT recovered 11 more of the 150 Fable-selected positions and offers a learned policy for interactions beyond the fixed score. The tie is evidence for a strong baseline—not proof that the scorer is ground truth.</w:t>
            </w:r>
          </w:p>
        </w:tc>
      </w:tr>
    </w:tbl>
    <w:p>
      <w:r>
        <w:br w:type="page"/>
      </w:r>
    </w:p>
    <w:p>
      <w:pPr>
        <w:spacing w:after="20"/>
      </w:pPr>
      <w:r>
        <w:rPr>
          <w:b/>
          <w:color w:val="1C8E8E"/>
          <w:sz w:val="15"/>
        </w:rPr>
        <w:t>03 / LEARNED POLICY</w:t>
      </w:r>
    </w:p>
    <w:p>
      <w:pPr>
        <w:pStyle w:val="Heading1"/>
      </w:pPr>
      <w:r>
        <w:t>Model choice, SFT, and the GRPO stopping decision</w:t>
      </w:r>
    </w:p>
    <w:p>
      <w:pPr>
        <w:spacing w:before="20" w:after="80"/>
        <w:pBdr>
          <w:bottom w:val="single" w:sz="18" w:space="1" w:color="1C8E8E"/>
        </w:pBdr>
      </w:pPr>
    </w:p>
    <w:p>
      <w:pPr>
        <w:pStyle w:val="Heading2"/>
      </w:pPr>
      <w:r>
        <w:t>Why 2B and why BF16 LoRA?</w:t>
      </w:r>
    </w:p>
    <w:p>
      <w:pPr>
        <w:pStyle w:val="SmallBody"/>
      </w:pPr>
      <w:r>
        <w:t>The proposal referenced a 9B model; our hypothesis was that structured tariff ranking should work with substantially less capacity. Qwen3.5-2B tests that claim directly. BF16 LoRA updated 10.9M parameters (0.49%): simple to run, easy to inspect, and sufficient for the available GPU. Keeping the experiment simple was also a reason not to add QLoRA complexity.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1944"/>
            <w:shd w:fill="183153"/>
            <w:vAlign w:val="center"/>
            <w:tcMar>
              <w:top w:w="70" w:type="dxa"/>
              <w:start w:w="85" w:type="dxa"/>
              <w:bottom w:w="70" w:type="dxa"/>
              <w:end w:w="85" w:type="dxa"/>
            </w:tcMar>
          </w:tcPr>
          <w:p>
            <w:pPr>
              <w:jc w:val="center"/>
            </w:pPr>
            <w:r>
              <w:rPr>
                <w:rFonts w:ascii="Aptos" w:hAnsi="Aptos"/>
                <w:b/>
                <w:color w:val="FFFFFF"/>
                <w:sz w:val="15"/>
              </w:rPr>
              <w:t>Golden evaluation</w:t>
            </w:r>
          </w:p>
        </w:tc>
        <w:tc>
          <w:tcPr>
            <w:tcW w:type="dxa" w:w="1080"/>
            <w:shd w:fill="183153"/>
            <w:vAlign w:val="center"/>
            <w:tcMar>
              <w:top w:w="70" w:type="dxa"/>
              <w:start w:w="85" w:type="dxa"/>
              <w:bottom w:w="70" w:type="dxa"/>
              <w:end w:w="85" w:type="dxa"/>
            </w:tcMar>
          </w:tcPr>
          <w:p>
            <w:pPr>
              <w:jc w:val="center"/>
            </w:pPr>
            <w:r>
              <w:rPr>
                <w:rFonts w:ascii="Aptos" w:hAnsi="Aptos"/>
                <w:b/>
                <w:color w:val="FFFFFF"/>
                <w:sz w:val="15"/>
              </w:rPr>
              <w:t>Top-1</w:t>
            </w:r>
          </w:p>
        </w:tc>
        <w:tc>
          <w:tcPr>
            <w:tcW w:type="dxa" w:w="1296"/>
            <w:shd w:fill="183153"/>
            <w:vAlign w:val="center"/>
            <w:tcMar>
              <w:top w:w="70" w:type="dxa"/>
              <w:start w:w="85" w:type="dxa"/>
              <w:bottom w:w="70" w:type="dxa"/>
              <w:end w:w="85" w:type="dxa"/>
            </w:tcMar>
          </w:tcPr>
          <w:p>
            <w:pPr>
              <w:jc w:val="center"/>
            </w:pPr>
            <w:r>
              <w:rPr>
                <w:rFonts w:ascii="Aptos" w:hAnsi="Aptos"/>
                <w:b/>
                <w:color w:val="FFFFFF"/>
                <w:sz w:val="15"/>
              </w:rPr>
              <w:t>Top-3 recall</w:t>
            </w:r>
          </w:p>
        </w:tc>
        <w:tc>
          <w:tcPr>
            <w:tcW w:type="dxa" w:w="1296"/>
            <w:shd w:fill="183153"/>
            <w:vAlign w:val="center"/>
            <w:tcMar>
              <w:top w:w="70" w:type="dxa"/>
              <w:start w:w="85" w:type="dxa"/>
              <w:bottom w:w="70" w:type="dxa"/>
              <w:end w:w="85" w:type="dxa"/>
            </w:tcMar>
          </w:tcPr>
          <w:p>
            <w:pPr>
              <w:jc w:val="center"/>
            </w:pPr>
            <w:r>
              <w:rPr>
                <w:rFonts w:ascii="Aptos" w:hAnsi="Aptos"/>
                <w:b/>
                <w:color w:val="FFFFFF"/>
                <w:sz w:val="15"/>
              </w:rPr>
              <w:t>Strict JSON</w:t>
            </w:r>
          </w:p>
        </w:tc>
        <w:tc>
          <w:tcPr>
            <w:tcW w:type="dxa" w:w="3456"/>
            <w:shd w:fill="183153"/>
            <w:vAlign w:val="center"/>
            <w:tcMar>
              <w:top w:w="70" w:type="dxa"/>
              <w:start w:w="85" w:type="dxa"/>
              <w:bottom w:w="70" w:type="dxa"/>
              <w:end w:w="85" w:type="dxa"/>
            </w:tcMar>
          </w:tcPr>
          <w:p>
            <w:pPr>
              <w:jc w:val="center"/>
            </w:pPr>
            <w:r>
              <w:rPr>
                <w:rFonts w:ascii="Aptos" w:hAnsi="Aptos"/>
                <w:b/>
                <w:color w:val="FFFFFF"/>
                <w:sz w:val="15"/>
              </w:rPr>
              <w:t>Interpretation</w:t>
            </w:r>
          </w:p>
        </w:tc>
      </w:tr>
      <w:tr>
        <w:tc>
          <w:tcPr>
            <w:tcW w:type="dxa" w:w="1944"/>
            <w:vAlign w:val="center"/>
            <w:tcMar>
              <w:top w:w="65" w:type="dxa"/>
              <w:start w:w="85" w:type="dxa"/>
              <w:bottom w:w="65" w:type="dxa"/>
              <w:end w:w="85" w:type="dxa"/>
            </w:tcMar>
          </w:tcPr>
          <w:p>
            <w:pPr>
              <w:jc w:val="left"/>
            </w:pPr>
            <w:r>
              <w:rPr>
                <w:rFonts w:ascii="Aptos" w:hAnsi="Aptos"/>
                <w:sz w:val="15"/>
              </w:rPr>
              <w:t>2B base</w:t>
            </w:r>
          </w:p>
        </w:tc>
        <w:tc>
          <w:tcPr>
            <w:tcW w:type="dxa" w:w="1080"/>
            <w:vAlign w:val="center"/>
            <w:tcMar>
              <w:top w:w="65" w:type="dxa"/>
              <w:start w:w="85" w:type="dxa"/>
              <w:bottom w:w="65" w:type="dxa"/>
              <w:end w:w="85" w:type="dxa"/>
            </w:tcMar>
          </w:tcPr>
          <w:p>
            <w:pPr>
              <w:jc w:val="center"/>
            </w:pPr>
            <w:r>
              <w:rPr>
                <w:rFonts w:ascii="Aptos" w:hAnsi="Aptos"/>
                <w:sz w:val="15"/>
              </w:rPr>
              <w:t>22%</w:t>
            </w:r>
          </w:p>
        </w:tc>
        <w:tc>
          <w:tcPr>
            <w:tcW w:type="dxa" w:w="1296"/>
            <w:vAlign w:val="center"/>
            <w:tcMar>
              <w:top w:w="65" w:type="dxa"/>
              <w:start w:w="85" w:type="dxa"/>
              <w:bottom w:w="65" w:type="dxa"/>
              <w:end w:w="85" w:type="dxa"/>
            </w:tcMar>
          </w:tcPr>
          <w:p>
            <w:pPr>
              <w:jc w:val="center"/>
            </w:pPr>
            <w:r>
              <w:rPr>
                <w:rFonts w:ascii="Aptos" w:hAnsi="Aptos"/>
                <w:sz w:val="15"/>
              </w:rPr>
              <w:t>66.7%</w:t>
            </w:r>
          </w:p>
        </w:tc>
        <w:tc>
          <w:tcPr>
            <w:tcW w:type="dxa" w:w="1296"/>
            <w:vAlign w:val="center"/>
            <w:tcMar>
              <w:top w:w="65" w:type="dxa"/>
              <w:start w:w="85" w:type="dxa"/>
              <w:bottom w:w="65" w:type="dxa"/>
              <w:end w:w="85" w:type="dxa"/>
            </w:tcMar>
          </w:tcPr>
          <w:p>
            <w:pPr>
              <w:jc w:val="center"/>
            </w:pPr>
            <w:r>
              <w:rPr>
                <w:rFonts w:ascii="Aptos" w:hAnsi="Aptos"/>
                <w:sz w:val="15"/>
              </w:rPr>
              <w:t>2%</w:t>
            </w:r>
          </w:p>
        </w:tc>
        <w:tc>
          <w:tcPr>
            <w:tcW w:type="dxa" w:w="3456"/>
            <w:vAlign w:val="center"/>
            <w:tcMar>
              <w:top w:w="65" w:type="dxa"/>
              <w:start w:w="85" w:type="dxa"/>
              <w:bottom w:w="65" w:type="dxa"/>
              <w:end w:w="85" w:type="dxa"/>
            </w:tcMar>
          </w:tcPr>
          <w:p>
            <w:pPr>
              <w:jc w:val="center"/>
            </w:pPr>
            <w:r>
              <w:rPr>
                <w:rFonts w:ascii="Aptos" w:hAnsi="Aptos"/>
                <w:sz w:val="15"/>
              </w:rPr>
              <w:t>Underpowered without task adaptation</w:t>
            </w:r>
          </w:p>
        </w:tc>
      </w:tr>
      <w:tr>
        <w:tc>
          <w:tcPr>
            <w:tcW w:type="dxa" w:w="1944"/>
            <w:shd w:fill="F4F6F8"/>
            <w:vAlign w:val="center"/>
            <w:tcMar>
              <w:top w:w="65" w:type="dxa"/>
              <w:start w:w="85" w:type="dxa"/>
              <w:bottom w:w="65" w:type="dxa"/>
              <w:end w:w="85" w:type="dxa"/>
            </w:tcMar>
          </w:tcPr>
          <w:p>
            <w:pPr>
              <w:jc w:val="left"/>
            </w:pPr>
            <w:r>
              <w:rPr>
                <w:rFonts w:ascii="Aptos" w:hAnsi="Aptos"/>
                <w:sz w:val="15"/>
              </w:rPr>
              <w:t>2B + SFT</w:t>
            </w:r>
          </w:p>
        </w:tc>
        <w:tc>
          <w:tcPr>
            <w:tcW w:type="dxa" w:w="1080"/>
            <w:shd w:fill="F4F6F8"/>
            <w:vAlign w:val="center"/>
            <w:tcMar>
              <w:top w:w="65" w:type="dxa"/>
              <w:start w:w="85" w:type="dxa"/>
              <w:bottom w:w="65" w:type="dxa"/>
              <w:end w:w="85" w:type="dxa"/>
            </w:tcMar>
          </w:tcPr>
          <w:p>
            <w:pPr>
              <w:jc w:val="center"/>
            </w:pPr>
            <w:r>
              <w:rPr>
                <w:rFonts w:ascii="Aptos" w:hAnsi="Aptos"/>
                <w:sz w:val="15"/>
              </w:rPr>
              <w:t>84%</w:t>
            </w:r>
          </w:p>
        </w:tc>
        <w:tc>
          <w:tcPr>
            <w:tcW w:type="dxa" w:w="1296"/>
            <w:shd w:fill="F4F6F8"/>
            <w:vAlign w:val="center"/>
            <w:tcMar>
              <w:top w:w="65" w:type="dxa"/>
              <w:start w:w="85" w:type="dxa"/>
              <w:bottom w:w="65" w:type="dxa"/>
              <w:end w:w="85" w:type="dxa"/>
            </w:tcMar>
          </w:tcPr>
          <w:p>
            <w:pPr>
              <w:jc w:val="center"/>
            </w:pPr>
            <w:r>
              <w:rPr>
                <w:rFonts w:ascii="Aptos" w:hAnsi="Aptos"/>
                <w:sz w:val="15"/>
              </w:rPr>
              <w:t>86.7%</w:t>
            </w:r>
          </w:p>
        </w:tc>
        <w:tc>
          <w:tcPr>
            <w:tcW w:type="dxa" w:w="1296"/>
            <w:shd w:fill="F4F6F8"/>
            <w:vAlign w:val="center"/>
            <w:tcMar>
              <w:top w:w="65" w:type="dxa"/>
              <w:start w:w="85" w:type="dxa"/>
              <w:bottom w:w="65" w:type="dxa"/>
              <w:end w:w="85" w:type="dxa"/>
            </w:tcMar>
          </w:tcPr>
          <w:p>
            <w:pPr>
              <w:jc w:val="center"/>
            </w:pPr>
            <w:r>
              <w:rPr>
                <w:rFonts w:ascii="Aptos" w:hAnsi="Aptos"/>
                <w:sz w:val="15"/>
              </w:rPr>
              <w:t>100%</w:t>
            </w:r>
          </w:p>
        </w:tc>
        <w:tc>
          <w:tcPr>
            <w:tcW w:type="dxa" w:w="3456"/>
            <w:shd w:fill="F4F6F8"/>
            <w:vAlign w:val="center"/>
            <w:tcMar>
              <w:top w:w="65" w:type="dxa"/>
              <w:start w:w="85" w:type="dxa"/>
              <w:bottom w:w="65" w:type="dxa"/>
              <w:end w:w="85" w:type="dxa"/>
            </w:tcMar>
          </w:tcPr>
          <w:p>
            <w:pPr>
              <w:jc w:val="center"/>
            </w:pPr>
            <w:r>
              <w:rPr>
                <w:rFonts w:ascii="Aptos" w:hAnsi="Aptos"/>
                <w:sz w:val="15"/>
              </w:rPr>
              <w:t>Selected model</w:t>
            </w:r>
          </w:p>
        </w:tc>
      </w:tr>
      <w:tr>
        <w:tc>
          <w:tcPr>
            <w:tcW w:type="dxa" w:w="1944"/>
            <w:vAlign w:val="center"/>
            <w:tcMar>
              <w:top w:w="65" w:type="dxa"/>
              <w:start w:w="85" w:type="dxa"/>
              <w:bottom w:w="65" w:type="dxa"/>
              <w:end w:w="85" w:type="dxa"/>
            </w:tcMar>
          </w:tcPr>
          <w:p>
            <w:pPr>
              <w:jc w:val="left"/>
            </w:pPr>
            <w:r>
              <w:rPr>
                <w:rFonts w:ascii="Aptos" w:hAnsi="Aptos"/>
                <w:sz w:val="15"/>
              </w:rPr>
              <w:t>2B + SFT + GRPO-10</w:t>
            </w:r>
          </w:p>
        </w:tc>
        <w:tc>
          <w:tcPr>
            <w:tcW w:type="dxa" w:w="1080"/>
            <w:vAlign w:val="center"/>
            <w:tcMar>
              <w:top w:w="65" w:type="dxa"/>
              <w:start w:w="85" w:type="dxa"/>
              <w:bottom w:w="65" w:type="dxa"/>
              <w:end w:w="85" w:type="dxa"/>
            </w:tcMar>
          </w:tcPr>
          <w:p>
            <w:pPr>
              <w:jc w:val="center"/>
            </w:pPr>
            <w:r>
              <w:rPr>
                <w:rFonts w:ascii="Aptos" w:hAnsi="Aptos"/>
                <w:sz w:val="15"/>
              </w:rPr>
              <w:t>84%</w:t>
            </w:r>
          </w:p>
        </w:tc>
        <w:tc>
          <w:tcPr>
            <w:tcW w:type="dxa" w:w="1296"/>
            <w:vAlign w:val="center"/>
            <w:tcMar>
              <w:top w:w="65" w:type="dxa"/>
              <w:start w:w="85" w:type="dxa"/>
              <w:bottom w:w="65" w:type="dxa"/>
              <w:end w:w="85" w:type="dxa"/>
            </w:tcMar>
          </w:tcPr>
          <w:p>
            <w:pPr>
              <w:jc w:val="center"/>
            </w:pPr>
            <w:r>
              <w:rPr>
                <w:rFonts w:ascii="Aptos" w:hAnsi="Aptos"/>
                <w:sz w:val="15"/>
              </w:rPr>
              <w:t>86.0%</w:t>
            </w:r>
          </w:p>
        </w:tc>
        <w:tc>
          <w:tcPr>
            <w:tcW w:type="dxa" w:w="1296"/>
            <w:vAlign w:val="center"/>
            <w:tcMar>
              <w:top w:w="65" w:type="dxa"/>
              <w:start w:w="85" w:type="dxa"/>
              <w:bottom w:w="65" w:type="dxa"/>
              <w:end w:w="85" w:type="dxa"/>
            </w:tcMar>
          </w:tcPr>
          <w:p>
            <w:pPr>
              <w:jc w:val="center"/>
            </w:pPr>
            <w:r>
              <w:rPr>
                <w:rFonts w:ascii="Aptos" w:hAnsi="Aptos"/>
                <w:sz w:val="15"/>
              </w:rPr>
              <w:t>100%</w:t>
            </w:r>
          </w:p>
        </w:tc>
        <w:tc>
          <w:tcPr>
            <w:tcW w:type="dxa" w:w="3456"/>
            <w:vAlign w:val="center"/>
            <w:tcMar>
              <w:top w:w="65" w:type="dxa"/>
              <w:start w:w="85" w:type="dxa"/>
              <w:bottom w:w="65" w:type="dxa"/>
              <w:end w:w="85" w:type="dxa"/>
            </w:tcMar>
          </w:tcPr>
          <w:p>
            <w:pPr>
              <w:jc w:val="center"/>
            </w:pPr>
            <w:r>
              <w:rPr>
                <w:rFonts w:ascii="Aptos" w:hAnsi="Aptos"/>
                <w:sz w:val="15"/>
              </w:rPr>
              <w:t>Stable continuation; no broad gain yet</w:t>
            </w:r>
          </w:p>
        </w:tc>
      </w:tr>
    </w:tbl>
    <w:p>
      <w:pPr>
        <w:spacing w:after="20"/>
        <w:jc w:val="center"/>
      </w:pPr>
      <w:r>
        <w:drawing>
          <wp:inline xmlns:a="http://schemas.openxmlformats.org/drawingml/2006/main" xmlns:pic="http://schemas.openxmlformats.org/drawingml/2006/picture">
            <wp:extent cx="5897880" cy="2483886"/>
            <wp:docPr id="3" name="Picture 3"/>
            <wp:cNvGraphicFramePr>
              <a:graphicFrameLocks noChangeAspect="1"/>
            </wp:cNvGraphicFramePr>
            <a:graphic>
              <a:graphicData uri="http://schemas.openxmlformats.org/drawingml/2006/picture">
                <pic:pic>
                  <pic:nvPicPr>
                    <pic:cNvPr id="0" name="04-sft-training.png"/>
                    <pic:cNvPicPr/>
                  </pic:nvPicPr>
                  <pic:blipFill>
                    <a:blip r:embed="rId13"/>
                    <a:stretch>
                      <a:fillRect/>
                    </a:stretch>
                  </pic:blipFill>
                  <pic:spPr>
                    <a:xfrm>
                      <a:off x="0" y="0"/>
                      <a:ext cx="5897880" cy="2483886"/>
                    </a:xfrm>
                    <a:prstGeom prst="rect"/>
                  </pic:spPr>
                </pic:pic>
              </a:graphicData>
            </a:graphic>
          </wp:inline>
        </w:drawing>
      </w:r>
    </w:p>
    <w:p>
      <w:pPr>
        <w:pStyle w:val="Caption"/>
        <w:jc w:val="center"/>
      </w:pPr>
      <w:r>
        <w:t>SFT produced the decisive quality and format-control improvement</w:t>
      </w:r>
    </w:p>
    <w:p>
      <w:pPr>
        <w:pStyle w:val="Heading2"/>
      </w:pPr>
      <w:r>
        <w:t>Why stop GRPO at ten steps?</w:t>
      </w:r>
    </w:p>
    <w:p>
      <w:pPr>
        <w:pStyle w:val="SmallBody"/>
      </w:pPr>
      <w:r>
        <w:t>GRPO worked technically: it remained stable and corrected one SFT Top-1 error on the 90-scenario development set (83/90 → 84/90). Ten full Top-3 orderings changed, with a small net recall loss. On golden, SFT and GRPO both reached 42/50 Top-1; GRPO changed one list but not its first choice.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70"/>
      </w:tblGrid>
      <w:tr>
        <w:tc>
          <w:tcPr>
            <w:tcW w:type="dxa" w:w="10570"/>
            <w:shd w:fill="EEF4FB"/>
            <w:tcMar>
              <w:top w:w="105" w:type="dxa"/>
              <w:start w:w="125" w:type="dxa"/>
              <w:bottom w:w="105" w:type="dxa"/>
              <w:end w:w="125" w:type="dxa"/>
            </w:tcMar>
          </w:tcPr>
          <w:p>
            <w:pPr>
              <w:spacing w:after="40"/>
            </w:pPr>
            <w:r>
              <w:rPr>
                <w:b/>
                <w:color w:val="183153"/>
              </w:rPr>
              <w:t>Practical ceiling, not a failed method</w:t>
            </w:r>
          </w:p>
          <w:p>
            <w:pPr>
              <w:spacing w:after="0"/>
            </w:pPr>
            <w:r>
              <w:t>GPT-6 Sol—the silver teacher and reward-calibration target—also achieved 84% Top-1 against Fable, and SFT had already reached that observed level while clearing the assignment’s &gt;80% target. More GRPO steps or samples might still improve the remaining predictions, but optimizing the same silver proxy more aggressively was not justified within the time budget. SFT therefore remains the evidence-backed selection.</w:t>
            </w:r>
          </w:p>
        </w:tc>
      </w:tr>
    </w:tbl>
    <w:p>
      <w:r>
        <w:br w:type="page"/>
      </w:r>
    </w:p>
    <w:p>
      <w:pPr>
        <w:spacing w:after="20"/>
      </w:pPr>
      <w:r>
        <w:rPr>
          <w:b/>
          <w:color w:val="1C8E8E"/>
          <w:sz w:val="15"/>
        </w:rPr>
        <w:t>04 / DECISION</w:t>
      </w:r>
    </w:p>
    <w:p>
      <w:pPr>
        <w:pStyle w:val="Heading1"/>
      </w:pPr>
      <w:r>
        <w:t>Production case, delivery, and conclusion</w:t>
      </w:r>
    </w:p>
    <w:p>
      <w:pPr>
        <w:spacing w:before="20" w:after="80"/>
        <w:pBdr>
          <w:bottom w:val="single" w:sz="18" w:space="1" w:color="1C8E8E"/>
        </w:pBdr>
      </w:pPr>
    </w:p>
    <w:p>
      <w:pPr>
        <w:spacing w:after="20"/>
        <w:jc w:val="center"/>
      </w:pPr>
      <w:r>
        <w:drawing>
          <wp:inline xmlns:a="http://schemas.openxmlformats.org/drawingml/2006/main" xmlns:pic="http://schemas.openxmlformats.org/drawingml/2006/picture">
            <wp:extent cx="5897880" cy="2120096"/>
            <wp:docPr id="4" name="Picture 4"/>
            <wp:cNvGraphicFramePr>
              <a:graphicFrameLocks noChangeAspect="1"/>
            </wp:cNvGraphicFramePr>
            <a:graphic>
              <a:graphicData uri="http://schemas.openxmlformats.org/drawingml/2006/picture">
                <pic:pic>
                  <pic:nvPicPr>
                    <pic:cNvPr id="0" name="07-cost-quality.png"/>
                    <pic:cNvPicPr/>
                  </pic:nvPicPr>
                  <pic:blipFill>
                    <a:blip r:embed="rId14"/>
                    <a:stretch>
                      <a:fillRect/>
                    </a:stretch>
                  </pic:blipFill>
                  <pic:spPr>
                    <a:xfrm>
                      <a:off x="0" y="0"/>
                      <a:ext cx="5897880" cy="2120096"/>
                    </a:xfrm>
                    <a:prstGeom prst="rect"/>
                  </pic:spPr>
                </pic:pic>
              </a:graphicData>
            </a:graphic>
          </wp:inline>
        </w:drawing>
      </w:r>
    </w:p>
    <w:p>
      <w:pPr>
        <w:pStyle w:val="Caption"/>
        <w:jc w:val="center"/>
      </w:pPr>
      <w:r>
        <w:t>Held-out quality versus measured or supplied serving cost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2880"/>
            <w:shd w:fill="183153"/>
            <w:vAlign w:val="center"/>
            <w:tcMar>
              <w:top w:w="70" w:type="dxa"/>
              <w:start w:w="85" w:type="dxa"/>
              <w:bottom w:w="70" w:type="dxa"/>
              <w:end w:w="85" w:type="dxa"/>
            </w:tcMar>
          </w:tcPr>
          <w:p>
            <w:pPr>
              <w:jc w:val="center"/>
            </w:pPr>
            <w:r>
              <w:rPr>
                <w:rFonts w:ascii="Aptos" w:hAnsi="Aptos"/>
                <w:b/>
                <w:color w:val="FFFFFF"/>
                <w:sz w:val="15"/>
              </w:rPr>
              <w:t>Serving mode / comparator</w:t>
            </w:r>
          </w:p>
        </w:tc>
        <w:tc>
          <w:tcPr>
            <w:tcW w:type="dxa" w:w="1037"/>
            <w:shd w:fill="183153"/>
            <w:vAlign w:val="center"/>
            <w:tcMar>
              <w:top w:w="70" w:type="dxa"/>
              <w:start w:w="85" w:type="dxa"/>
              <w:bottom w:w="70" w:type="dxa"/>
              <w:end w:w="85" w:type="dxa"/>
            </w:tcMar>
          </w:tcPr>
          <w:p>
            <w:pPr>
              <w:jc w:val="center"/>
            </w:pPr>
            <w:r>
              <w:rPr>
                <w:rFonts w:ascii="Aptos" w:hAnsi="Aptos"/>
                <w:b/>
                <w:color w:val="FFFFFF"/>
                <w:sz w:val="15"/>
              </w:rPr>
              <w:t>Top-1</w:t>
            </w:r>
          </w:p>
        </w:tc>
        <w:tc>
          <w:tcPr>
            <w:tcW w:type="dxa" w:w="1800"/>
            <w:shd w:fill="183153"/>
            <w:vAlign w:val="center"/>
            <w:tcMar>
              <w:top w:w="70" w:type="dxa"/>
              <w:start w:w="85" w:type="dxa"/>
              <w:bottom w:w="70" w:type="dxa"/>
              <w:end w:w="85" w:type="dxa"/>
            </w:tcMar>
          </w:tcPr>
          <w:p>
            <w:pPr>
              <w:jc w:val="center"/>
            </w:pPr>
            <w:r>
              <w:rPr>
                <w:rFonts w:ascii="Aptos" w:hAnsi="Aptos"/>
                <w:b/>
                <w:color w:val="FFFFFF"/>
                <w:sz w:val="15"/>
              </w:rPr>
              <w:t>Cost per 1k</w:t>
            </w:r>
          </w:p>
        </w:tc>
        <w:tc>
          <w:tcPr>
            <w:tcW w:type="dxa" w:w="3600"/>
            <w:shd w:fill="183153"/>
            <w:vAlign w:val="center"/>
            <w:tcMar>
              <w:top w:w="70" w:type="dxa"/>
              <w:start w:w="85" w:type="dxa"/>
              <w:bottom w:w="70" w:type="dxa"/>
              <w:end w:w="85" w:type="dxa"/>
            </w:tcMar>
          </w:tcPr>
          <w:p>
            <w:pPr>
              <w:jc w:val="center"/>
            </w:pPr>
            <w:r>
              <w:rPr>
                <w:rFonts w:ascii="Aptos" w:hAnsi="Aptos"/>
                <w:b/>
                <w:color w:val="FFFFFF"/>
                <w:sz w:val="15"/>
              </w:rPr>
              <w:t>What it means</w:t>
            </w:r>
          </w:p>
        </w:tc>
      </w:tr>
      <w:tr>
        <w:tc>
          <w:tcPr>
            <w:tcW w:type="dxa" w:w="2880"/>
            <w:vAlign w:val="center"/>
            <w:tcMar>
              <w:top w:w="65" w:type="dxa"/>
              <w:start w:w="85" w:type="dxa"/>
              <w:bottom w:w="65" w:type="dxa"/>
              <w:end w:w="85" w:type="dxa"/>
            </w:tcMar>
          </w:tcPr>
          <w:p>
            <w:pPr>
              <w:jc w:val="left"/>
            </w:pPr>
            <w:r>
              <w:rPr>
                <w:rFonts w:ascii="Aptos" w:hAnsi="Aptos"/>
                <w:sz w:val="15"/>
              </w:rPr>
              <w:t>2B SFT, RTX 4090 saturated</w:t>
            </w:r>
          </w:p>
        </w:tc>
        <w:tc>
          <w:tcPr>
            <w:tcW w:type="dxa" w:w="1037"/>
            <w:vAlign w:val="center"/>
            <w:tcMar>
              <w:top w:w="65" w:type="dxa"/>
              <w:start w:w="85" w:type="dxa"/>
              <w:bottom w:w="65" w:type="dxa"/>
              <w:end w:w="85" w:type="dxa"/>
            </w:tcMar>
          </w:tcPr>
          <w:p>
            <w:pPr>
              <w:jc w:val="center"/>
            </w:pPr>
            <w:r>
              <w:rPr>
                <w:rFonts w:ascii="Aptos" w:hAnsi="Aptos"/>
                <w:sz w:val="15"/>
              </w:rPr>
              <w:t>84%</w:t>
            </w:r>
          </w:p>
        </w:tc>
        <w:tc>
          <w:tcPr>
            <w:tcW w:type="dxa" w:w="1800"/>
            <w:vAlign w:val="center"/>
            <w:tcMar>
              <w:top w:w="65" w:type="dxa"/>
              <w:start w:w="85" w:type="dxa"/>
              <w:bottom w:w="65" w:type="dxa"/>
              <w:end w:w="85" w:type="dxa"/>
            </w:tcMar>
          </w:tcPr>
          <w:p>
            <w:pPr>
              <w:jc w:val="center"/>
            </w:pPr>
            <w:r>
              <w:rPr>
                <w:rFonts w:ascii="Aptos" w:hAnsi="Aptos"/>
                <w:sz w:val="15"/>
              </w:rPr>
              <w:t>€0.0028</w:t>
            </w:r>
          </w:p>
        </w:tc>
        <w:tc>
          <w:tcPr>
            <w:tcW w:type="dxa" w:w="3600"/>
            <w:vAlign w:val="center"/>
            <w:tcMar>
              <w:top w:w="65" w:type="dxa"/>
              <w:start w:w="85" w:type="dxa"/>
              <w:bottom w:w="65" w:type="dxa"/>
              <w:end w:w="85" w:type="dxa"/>
            </w:tcMar>
          </w:tcPr>
          <w:p>
            <w:pPr>
              <w:jc w:val="center"/>
            </w:pPr>
            <w:r>
              <w:rPr>
                <w:rFonts w:ascii="Aptos" w:hAnsi="Aptos"/>
                <w:sz w:val="15"/>
              </w:rPr>
              <w:t>Measured 63.66 rec/s at concurrency 64</w:t>
            </w:r>
          </w:p>
        </w:tc>
      </w:tr>
      <w:tr>
        <w:tc>
          <w:tcPr>
            <w:tcW w:type="dxa" w:w="2880"/>
            <w:shd w:fill="F4F6F8"/>
            <w:vAlign w:val="center"/>
            <w:tcMar>
              <w:top w:w="65" w:type="dxa"/>
              <w:start w:w="85" w:type="dxa"/>
              <w:bottom w:w="65" w:type="dxa"/>
              <w:end w:w="85" w:type="dxa"/>
            </w:tcMar>
          </w:tcPr>
          <w:p>
            <w:pPr>
              <w:jc w:val="left"/>
            </w:pPr>
            <w:r>
              <w:rPr>
                <w:rFonts w:ascii="Aptos" w:hAnsi="Aptos"/>
                <w:sz w:val="15"/>
              </w:rPr>
              <w:t>2B SFT, 10% utilization</w:t>
            </w:r>
          </w:p>
        </w:tc>
        <w:tc>
          <w:tcPr>
            <w:tcW w:type="dxa" w:w="1037"/>
            <w:shd w:fill="F4F6F8"/>
            <w:vAlign w:val="center"/>
            <w:tcMar>
              <w:top w:w="65" w:type="dxa"/>
              <w:start w:w="85" w:type="dxa"/>
              <w:bottom w:w="65" w:type="dxa"/>
              <w:end w:w="85" w:type="dxa"/>
            </w:tcMar>
          </w:tcPr>
          <w:p>
            <w:pPr>
              <w:jc w:val="center"/>
            </w:pPr>
            <w:r>
              <w:rPr>
                <w:rFonts w:ascii="Aptos" w:hAnsi="Aptos"/>
                <w:sz w:val="15"/>
              </w:rPr>
              <w:t>84%</w:t>
            </w:r>
          </w:p>
        </w:tc>
        <w:tc>
          <w:tcPr>
            <w:tcW w:type="dxa" w:w="1800"/>
            <w:shd w:fill="F4F6F8"/>
            <w:vAlign w:val="center"/>
            <w:tcMar>
              <w:top w:w="65" w:type="dxa"/>
              <w:start w:w="85" w:type="dxa"/>
              <w:bottom w:w="65" w:type="dxa"/>
              <w:end w:w="85" w:type="dxa"/>
            </w:tcMar>
          </w:tcPr>
          <w:p>
            <w:pPr>
              <w:jc w:val="center"/>
            </w:pPr>
            <w:r>
              <w:rPr>
                <w:rFonts w:ascii="Aptos" w:hAnsi="Aptos"/>
                <w:sz w:val="15"/>
              </w:rPr>
              <w:t>€0.0283</w:t>
            </w:r>
          </w:p>
        </w:tc>
        <w:tc>
          <w:tcPr>
            <w:tcW w:type="dxa" w:w="3600"/>
            <w:shd w:fill="F4F6F8"/>
            <w:vAlign w:val="center"/>
            <w:tcMar>
              <w:top w:w="65" w:type="dxa"/>
              <w:start w:w="85" w:type="dxa"/>
              <w:bottom w:w="65" w:type="dxa"/>
              <w:end w:w="85" w:type="dxa"/>
            </w:tcMar>
          </w:tcPr>
          <w:p>
            <w:pPr>
              <w:jc w:val="center"/>
            </w:pPr>
            <w:r>
              <w:rPr>
                <w:rFonts w:ascii="Aptos" w:hAnsi="Aptos"/>
                <w:sz w:val="15"/>
              </w:rPr>
              <w:t>Conservative utilization scenario</w:t>
            </w:r>
          </w:p>
        </w:tc>
      </w:tr>
      <w:tr>
        <w:tc>
          <w:tcPr>
            <w:tcW w:type="dxa" w:w="2880"/>
            <w:vAlign w:val="center"/>
            <w:tcMar>
              <w:top w:w="65" w:type="dxa"/>
              <w:start w:w="85" w:type="dxa"/>
              <w:bottom w:w="65" w:type="dxa"/>
              <w:end w:w="85" w:type="dxa"/>
            </w:tcMar>
          </w:tcPr>
          <w:p>
            <w:pPr>
              <w:jc w:val="left"/>
            </w:pPr>
            <w:r>
              <w:rPr>
                <w:rFonts w:ascii="Aptos" w:hAnsi="Aptos"/>
                <w:sz w:val="15"/>
              </w:rPr>
              <w:t>2B SFT, unbatched</w:t>
            </w:r>
          </w:p>
        </w:tc>
        <w:tc>
          <w:tcPr>
            <w:tcW w:type="dxa" w:w="1037"/>
            <w:vAlign w:val="center"/>
            <w:tcMar>
              <w:top w:w="65" w:type="dxa"/>
              <w:start w:w="85" w:type="dxa"/>
              <w:bottom w:w="65" w:type="dxa"/>
              <w:end w:w="85" w:type="dxa"/>
            </w:tcMar>
          </w:tcPr>
          <w:p>
            <w:pPr>
              <w:jc w:val="center"/>
            </w:pPr>
            <w:r>
              <w:rPr>
                <w:rFonts w:ascii="Aptos" w:hAnsi="Aptos"/>
                <w:sz w:val="15"/>
              </w:rPr>
              <w:t>84%</w:t>
            </w:r>
          </w:p>
        </w:tc>
        <w:tc>
          <w:tcPr>
            <w:tcW w:type="dxa" w:w="1800"/>
            <w:vAlign w:val="center"/>
            <w:tcMar>
              <w:top w:w="65" w:type="dxa"/>
              <w:start w:w="85" w:type="dxa"/>
              <w:bottom w:w="65" w:type="dxa"/>
              <w:end w:w="85" w:type="dxa"/>
            </w:tcMar>
          </w:tcPr>
          <w:p>
            <w:pPr>
              <w:jc w:val="center"/>
            </w:pPr>
            <w:r>
              <w:rPr>
                <w:rFonts w:ascii="Aptos" w:hAnsi="Aptos"/>
                <w:sz w:val="15"/>
              </w:rPr>
              <w:t>€0.0539</w:t>
            </w:r>
          </w:p>
        </w:tc>
        <w:tc>
          <w:tcPr>
            <w:tcW w:type="dxa" w:w="3600"/>
            <w:vAlign w:val="center"/>
            <w:tcMar>
              <w:top w:w="65" w:type="dxa"/>
              <w:start w:w="85" w:type="dxa"/>
              <w:bottom w:w="65" w:type="dxa"/>
              <w:end w:w="85" w:type="dxa"/>
            </w:tcMar>
          </w:tcPr>
          <w:p>
            <w:pPr>
              <w:jc w:val="center"/>
            </w:pPr>
            <w:r>
              <w:rPr>
                <w:rFonts w:ascii="Aptos" w:hAnsi="Aptos"/>
                <w:sz w:val="15"/>
              </w:rPr>
              <w:t>Measured lower-throughput bound</w:t>
            </w:r>
          </w:p>
        </w:tc>
      </w:tr>
      <w:tr>
        <w:tc>
          <w:tcPr>
            <w:tcW w:type="dxa" w:w="2880"/>
            <w:shd w:fill="F4F6F8"/>
            <w:vAlign w:val="center"/>
            <w:tcMar>
              <w:top w:w="65" w:type="dxa"/>
              <w:start w:w="85" w:type="dxa"/>
              <w:bottom w:w="65" w:type="dxa"/>
              <w:end w:w="85" w:type="dxa"/>
            </w:tcMar>
          </w:tcPr>
          <w:p>
            <w:pPr>
              <w:jc w:val="left"/>
            </w:pPr>
            <w:r>
              <w:rPr>
                <w:rFonts w:ascii="Aptos" w:hAnsi="Aptos"/>
                <w:sz w:val="15"/>
              </w:rPr>
              <w:t>Supplied Qwen3.5-9B</w:t>
            </w:r>
          </w:p>
        </w:tc>
        <w:tc>
          <w:tcPr>
            <w:tcW w:type="dxa" w:w="1037"/>
            <w:shd w:fill="F4F6F8"/>
            <w:vAlign w:val="center"/>
            <w:tcMar>
              <w:top w:w="65" w:type="dxa"/>
              <w:start w:w="85" w:type="dxa"/>
              <w:bottom w:w="65" w:type="dxa"/>
              <w:end w:w="85" w:type="dxa"/>
            </w:tcMar>
          </w:tcPr>
          <w:p>
            <w:pPr>
              <w:jc w:val="center"/>
            </w:pPr>
            <w:r>
              <w:rPr>
                <w:rFonts w:ascii="Aptos" w:hAnsi="Aptos"/>
                <w:sz w:val="15"/>
              </w:rPr>
              <w:t>42%</w:t>
            </w:r>
          </w:p>
        </w:tc>
        <w:tc>
          <w:tcPr>
            <w:tcW w:type="dxa" w:w="1800"/>
            <w:shd w:fill="F4F6F8"/>
            <w:vAlign w:val="center"/>
            <w:tcMar>
              <w:top w:w="65" w:type="dxa"/>
              <w:start w:w="85" w:type="dxa"/>
              <w:bottom w:w="65" w:type="dxa"/>
              <w:end w:w="85" w:type="dxa"/>
            </w:tcMar>
          </w:tcPr>
          <w:p>
            <w:pPr>
              <w:jc w:val="center"/>
            </w:pPr>
            <w:r>
              <w:rPr>
                <w:rFonts w:ascii="Aptos" w:hAnsi="Aptos"/>
                <w:sz w:val="15"/>
              </w:rPr>
              <w:t>€0.1869</w:t>
            </w:r>
          </w:p>
        </w:tc>
        <w:tc>
          <w:tcPr>
            <w:tcW w:type="dxa" w:w="3600"/>
            <w:shd w:fill="F4F6F8"/>
            <w:vAlign w:val="center"/>
            <w:tcMar>
              <w:top w:w="65" w:type="dxa"/>
              <w:start w:w="85" w:type="dxa"/>
              <w:bottom w:w="65" w:type="dxa"/>
              <w:end w:w="85" w:type="dxa"/>
            </w:tcMar>
          </w:tcPr>
          <w:p>
            <w:pPr>
              <w:jc w:val="center"/>
            </w:pPr>
            <w:r>
              <w:rPr>
                <w:rFonts w:ascii="Aptos" w:hAnsi="Aptos"/>
                <w:sz w:val="15"/>
              </w:rPr>
              <w:t>Reference</w:t>
            </w:r>
          </w:p>
        </w:tc>
      </w:tr>
      <w:tr>
        <w:tc>
          <w:tcPr>
            <w:tcW w:type="dxa" w:w="2880"/>
            <w:vAlign w:val="center"/>
            <w:tcMar>
              <w:top w:w="65" w:type="dxa"/>
              <w:start w:w="85" w:type="dxa"/>
              <w:bottom w:w="65" w:type="dxa"/>
              <w:end w:w="85" w:type="dxa"/>
            </w:tcMar>
          </w:tcPr>
          <w:p>
            <w:pPr>
              <w:jc w:val="left"/>
            </w:pPr>
            <w:r>
              <w:rPr>
                <w:rFonts w:ascii="Aptos" w:hAnsi="Aptos"/>
                <w:sz w:val="15"/>
              </w:rPr>
              <w:t>Gemini / GPT-5.4</w:t>
            </w:r>
          </w:p>
        </w:tc>
        <w:tc>
          <w:tcPr>
            <w:tcW w:type="dxa" w:w="1037"/>
            <w:vAlign w:val="center"/>
            <w:tcMar>
              <w:top w:w="65" w:type="dxa"/>
              <w:start w:w="85" w:type="dxa"/>
              <w:bottom w:w="65" w:type="dxa"/>
              <w:end w:w="85" w:type="dxa"/>
            </w:tcMar>
          </w:tcPr>
          <w:p>
            <w:pPr>
              <w:jc w:val="center"/>
            </w:pPr>
            <w:r>
              <w:rPr>
                <w:rFonts w:ascii="Aptos" w:hAnsi="Aptos"/>
                <w:sz w:val="15"/>
              </w:rPr>
              <w:t>80% / 84%</w:t>
            </w:r>
          </w:p>
        </w:tc>
        <w:tc>
          <w:tcPr>
            <w:tcW w:type="dxa" w:w="1800"/>
            <w:vAlign w:val="center"/>
            <w:tcMar>
              <w:top w:w="65" w:type="dxa"/>
              <w:start w:w="85" w:type="dxa"/>
              <w:bottom w:w="65" w:type="dxa"/>
              <w:end w:w="85" w:type="dxa"/>
            </w:tcMar>
          </w:tcPr>
          <w:p>
            <w:pPr>
              <w:jc w:val="center"/>
            </w:pPr>
            <w:r>
              <w:rPr>
                <w:rFonts w:ascii="Aptos" w:hAnsi="Aptos"/>
                <w:sz w:val="15"/>
              </w:rPr>
              <w:t>€0.8897 / €1.3445</w:t>
            </w:r>
          </w:p>
        </w:tc>
        <w:tc>
          <w:tcPr>
            <w:tcW w:type="dxa" w:w="3600"/>
            <w:vAlign w:val="center"/>
            <w:tcMar>
              <w:top w:w="65" w:type="dxa"/>
              <w:start w:w="85" w:type="dxa"/>
              <w:bottom w:w="65" w:type="dxa"/>
              <w:end w:w="85" w:type="dxa"/>
            </w:tcMar>
          </w:tcPr>
          <w:p>
            <w:pPr>
              <w:jc w:val="center"/>
            </w:pPr>
            <w:r>
              <w:rPr>
                <w:rFonts w:ascii="Aptos" w:hAnsi="Aptos"/>
                <w:sz w:val="15"/>
              </w:rPr>
              <w:t>About 5–7× the 9B reference cost</w:t>
            </w:r>
          </w:p>
        </w:tc>
      </w:tr>
    </w:tbl>
    <w:p>
      <w:pPr>
        <w:pStyle w:val="Heading2"/>
      </w:pPr>
      <w:r>
        <w:t>Actual experiment spend</w:t>
      </w:r>
    </w:p>
    <w:p>
      <w:pPr>
        <w:pStyle w:val="SmallBody"/>
      </w:pPr>
      <w:r>
        <w:rPr>
          <w:b/>
        </w:rPr>
        <w:t>Teacher selection</w:t>
      </w:r>
      <w:r>
        <w:t xml:space="preserve"> and batch labelling cost approximately $3.80; the complete RunPod bill for training, evaluation, and benchmarking was $4.00. Total billed cash spend: approximately $7.80.</w:t>
      </w:r>
    </w:p>
    <w:p>
      <w:pPr>
        <w:pStyle w:val="Heading2"/>
      </w:pPr>
      <w:r>
        <w:t>Delivered and reproducible</w:t>
      </w:r>
    </w:p>
    <w:p>
      <w:pPr>
        <w:pStyle w:val="SmallBody"/>
      </w:pPr>
      <w:r>
        <w:rPr>
          <w:b/>
        </w:rPr>
        <w:t xml:space="preserve">Git repository: </w:t>
      </w:r>
      <w:hyperlink r:id="rId15">
        <w:r>
          <w:rPr>
            <w:color w:val="2C6ECB"/>
            <w:u w:val="single"/>
          </w:rPr>
          <w:t>https://github.com/lakshaychhabra/reranking-optimisation</w:t>
        </w:r>
      </w:hyperlink>
    </w:p>
    <w:p>
      <w:pPr>
        <w:pStyle w:val="SmallBody"/>
      </w:pPr>
      <w:r>
        <w:rPr>
          <w:b/>
        </w:rPr>
        <w:t xml:space="preserve">Hugging Face dataset: </w:t>
      </w:r>
      <w:hyperlink r:id="rId16">
        <w:r>
          <w:rPr>
            <w:color w:val="2C6ECB"/>
            <w:u w:val="single"/>
          </w:rPr>
          <w:t>https://huggingface.co/datasets/lakshaychhabra/wg-recommendation-data</w:t>
        </w:r>
      </w:hyperlink>
    </w:p>
    <w:p>
      <w:pPr>
        <w:pStyle w:val="SmallBody"/>
      </w:pPr>
      <w:r>
        <w:t>The package includes adapters, configs, logs, frozen results, hashes, portable reproduction instructions, and prepared non-golden data. Apple MPS reproduced all 50 selected SFT outputs exactly.</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570"/>
      </w:tblGrid>
      <w:tr>
        <w:tc>
          <w:tcPr>
            <w:tcW w:type="dxa" w:w="10570"/>
            <w:shd w:fill="EEF4FB"/>
            <w:tcMar>
              <w:top w:w="105" w:type="dxa"/>
              <w:start w:w="125" w:type="dxa"/>
              <w:bottom w:w="105" w:type="dxa"/>
              <w:end w:w="125" w:type="dxa"/>
            </w:tcMar>
          </w:tcPr>
          <w:p>
            <w:pPr>
              <w:spacing w:after="40"/>
            </w:pPr>
            <w:r>
              <w:rPr>
                <w:b/>
                <w:color w:val="183153"/>
              </w:rPr>
              <w:t>Final decision</w:t>
            </w:r>
          </w:p>
          <w:p>
            <w:pPr>
              <w:spacing w:after="0"/>
            </w:pPr>
            <w:r>
              <w:t>Select the Qwen3.5-2B SFT LoRA. It met the assignment objective—84% Top-1 versus the &gt;80% target—while improving Top-3 recall, enforcing the output contract, and supporting low-cost self-hosted serving. Keep the calibrated scorer as the zero-inference Top-1 fallback and GRPO as a credible next experiment once stronger labels or a new untouched benchmark are available.</w:t>
            </w:r>
          </w:p>
        </w:tc>
      </w:tr>
    </w:tbl>
    <w:p>
      <w:pPr>
        <w:pStyle w:val="SourceNote"/>
      </w:pPr>
      <w:r>
        <w:t>Cost scope: GPU-only serving estimates exclude storage, networking, cold starts, redundancy, and operations. The 50-scenario benchmark is held out but small; results should be confirmed on a larger expert-labelled set before production policy decisions.</w:t>
      </w:r>
    </w:p>
    <w:sectPr w:rsidR="00FC693F" w:rsidRPr="0006063C" w:rsidSect="00034616">
      <w:headerReference w:type="default" r:id="rId9"/>
      <w:footerReference w:type="default" r:id="rId10"/>
      <w:pgSz w:w="12240" w:h="15840"/>
      <w:pgMar w:top="691" w:right="835" w:bottom="691" w:left="835"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WG Recommendation Model  |  Lakshay Chhabra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jc w:val="right"/>
    </w:pPr>
    <w:r>
      <w:rPr>
        <w:color w:val="5F6B7A"/>
      </w:rPr>
      <w:t>WG RECOMMENDATION MODEL  /  EXPERIMENT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172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ptos Display" w:hAnsi="Aptos Display"/>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C8E8E"/>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1831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80"/>
    </w:pPr>
    <w:rPr>
      <w:rFonts w:ascii="Aptos" w:hAnsi="Aptos"/>
      <w:b/>
      <w:bCs/>
      <w:i w:val="0"/>
      <w:color w:val="667485"/>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160"/>
    </w:pPr>
    <w:rPr>
      <w:rFonts w:ascii="Aptos" w:hAnsi="Aptos"/>
      <w:color w:val="667485"/>
      <w:sz w:val="20"/>
    </w:rPr>
  </w:style>
  <w:style w:type="paragraph" w:customStyle="1" w:styleId="SourceNote">
    <w:name w:val="Source Note"/>
    <w:pPr>
      <w:spacing w:before="20" w:after="80"/>
    </w:pPr>
    <w:rPr>
      <w:rFonts w:ascii="Aptos" w:hAnsi="Aptos"/>
      <w:color w:val="667485"/>
      <w:sz w:val="14"/>
    </w:rPr>
  </w:style>
  <w:style w:type="paragraph" w:customStyle="1" w:styleId="SmallBody">
    <w:name w:val="Small Body"/>
    <w:pPr>
      <w:spacing w:after="60" w:line="240" w:lineRule="auto"/>
    </w:pPr>
    <w:rPr>
      <w:rFonts w:ascii="Aptos" w:hAnsi="Aptos"/>
      <w:color w:val="1E293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lakshaychhabra/reranking-optimisation" TargetMode="External"/><Relationship Id="rId16" Type="http://schemas.openxmlformats.org/officeDocument/2006/relationships/hyperlink" Target="https://huggingface.co/datasets/lakshaychhabra/wg-recommendatio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 Recommendation Model Submission Brief</dc:title>
  <dc:subject>Four-page executive report</dc:subject>
  <dc:creator>Lakshay Chhabra</dc:creator>
  <cp:keywords>Wohngebäude, recommendation, Qwen, LoRA, SFT, GRPO</cp:keywords>
  <dc:description>generated by python-docx</dc:description>
  <cp:lastModifiedBy/>
  <cp:revision>1</cp:revision>
  <dcterms:created xsi:type="dcterms:W3CDTF">2013-12-23T23:15:00Z</dcterms:created>
  <dcterms:modified xsi:type="dcterms:W3CDTF">2013-12-23T23:15:00Z</dcterms:modified>
  <cp:category/>
</cp:coreProperties>
</file>