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C8E8E"/>
          <w:sz w:val="15"/>
        </w:rPr>
        <w:t>TECHNICAL EXPERIMENT REPORT / SEPTEMBER 2026</w:t>
      </w:r>
    </w:p>
    <w:p>
      <w:pPr>
        <w:pStyle w:val="Title"/>
      </w:pPr>
      <w:r>
        <w:t>Compact model training for</w:t>
        <w:br/>
        <w:t>insurance tariff ranking</w:t>
      </w:r>
    </w:p>
    <w:p>
      <w:pPr>
        <w:pStyle w:val="ReportSubtitle"/>
      </w:pPr>
      <w:r>
        <w:t>Reaching top-tier ranking quality with Qwen3.5-2B through supervised fine-tuning, a controlled GRPO continuation, and a verified quality–cost evaluation</w:t>
      </w:r>
    </w:p>
    <w:p>
      <w:pPr>
        <w:spacing w:before="20" w:after="80"/>
        <w:pBdr>
          <w:bottom w:val="single" w:sz="30" w:space="1" w:color="D97706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83153"/>
            <w:vAlign w:val="center"/>
            <w:tcMar>
              <w:top w:w="9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84%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held-out Top-1</w:t>
            </w:r>
          </w:p>
        </w:tc>
        <w:tc>
          <w:tcPr>
            <w:tcW w:type="dxa" w:w="2570"/>
            <w:shd w:fill="1C8E8E"/>
            <w:vAlign w:val="center"/>
            <w:tcMar>
              <w:top w:w="9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86.7%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Top-3 recall</w:t>
            </w:r>
          </w:p>
        </w:tc>
        <w:tc>
          <w:tcPr>
            <w:tcW w:type="dxa" w:w="2570"/>
            <w:shd w:fill="183153"/>
            <w:vAlign w:val="center"/>
            <w:tcMar>
              <w:top w:w="9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2B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base parameters</w:t>
            </w:r>
          </w:p>
        </w:tc>
        <w:tc>
          <w:tcPr>
            <w:tcW w:type="dxa" w:w="2570"/>
            <w:shd w:fill="1C8E8E"/>
            <w:vAlign w:val="center"/>
            <w:tcMar>
              <w:top w:w="9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$7.80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4"/>
              </w:rPr>
              <w:t>total billed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71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taset-funnel-and-spl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End-to-end experiment: independent data roles and a locked final benchmark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Executive conclusion</w:t>
            </w:r>
          </w:p>
          <w:p>
            <w:pPr>
              <w:spacing w:after="0"/>
            </w:pPr>
            <w:r>
              <w:t>The selected SFT LoRA moved the unchanged 2B base from 22% to 84% held-out Top-1, matched the best observed frontier/teacher agreement, produced 100% strict JSON, and served at 63.66 recommendations/s in the sustained benchmark. GRPO was stable and promising on one development error, but SFT had already reached the observed supervision ceiling; ten steps did not establish a broader gain.</w:t>
            </w:r>
          </w:p>
        </w:tc>
      </w:tr>
    </w:tbl>
    <w:p>
      <w:pPr>
        <w:pStyle w:val="SourceNote"/>
      </w:pPr>
      <w:r>
        <w:t>Report map: Task and success criteria → system and data → teacher and reward → model training → evaluation → economics → release and next experiments.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02 / WHAT WAS DECIDED</w:t>
      </w:r>
    </w:p>
    <w:p>
      <w:pPr>
        <w:pStyle w:val="Heading1"/>
      </w:pPr>
      <w:r>
        <w:t>Executive decision dashboard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Select Qwen3.5-2B SFT LoRA; retain the symbolic scorer as a Top-1 fallback and GRPO as a future experiment, not the production checkpoint.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7"/>
            <w:shd w:fill="1831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477"/>
            <w:shd w:fill="1831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What we did</w:t>
            </w:r>
          </w:p>
        </w:tc>
        <w:tc>
          <w:tcPr>
            <w:tcW w:type="dxa" w:w="2477"/>
            <w:shd w:fill="1831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Why</w:t>
            </w:r>
          </w:p>
        </w:tc>
        <w:tc>
          <w:tcPr>
            <w:tcW w:type="dxa" w:w="2693"/>
            <w:shd w:fill="1831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Verified result</w:t>
            </w:r>
          </w:p>
        </w:tc>
      </w:tr>
      <w:t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Data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Generated risks + live quotes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Create task-specific panels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1,490 usable / 9,632 quotes</w:t>
            </w:r>
          </w:p>
        </w:tc>
      </w:tr>
      <w:tr>
        <w:tc>
          <w:tcPr>
            <w:tcW w:type="dxa" w:w="103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Teacher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GPT-6 Sol silver labels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Scale ranked supervision</w:t>
            </w:r>
          </w:p>
        </w:tc>
        <w:tc>
          <w:tcPr>
            <w:tcW w:type="dxa" w:w="2693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1,490 Top-3 labels</w:t>
            </w:r>
          </w:p>
        </w:tc>
      </w:tr>
      <w:t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Reward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20k deterministic search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Align proxy to teacher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49% → 94% calibration Top-1</w:t>
            </w:r>
          </w:p>
        </w:tc>
      </w:tr>
      <w:tr>
        <w:tc>
          <w:tcPr>
            <w:tcW w:type="dxa" w:w="103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SFT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2B BF16 LoRA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Test smaller-model hypothesis</w:t>
            </w:r>
          </w:p>
        </w:tc>
        <w:tc>
          <w:tcPr>
            <w:tcW w:type="dxa" w:w="2693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22% → 84% golden Top-1</w:t>
            </w:r>
          </w:p>
        </w:tc>
      </w:tr>
      <w:t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GRPO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10-step continuation</w:t>
            </w:r>
          </w:p>
        </w:tc>
        <w:tc>
          <w:tcPr>
            <w:tcW w:type="dxa" w:w="24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Test reward optimization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84% Top-1; no broad gain</w:t>
            </w:r>
          </w:p>
        </w:tc>
      </w:tr>
      <w:tr>
        <w:tc>
          <w:tcPr>
            <w:tcW w:type="dxa" w:w="103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Serving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RTX 4090 vLLM benchmark</w:t>
            </w:r>
          </w:p>
        </w:tc>
        <w:tc>
          <w:tcPr>
            <w:tcW w:type="dxa" w:w="2477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Measure deployability</w:t>
            </w:r>
          </w:p>
        </w:tc>
        <w:tc>
          <w:tcPr>
            <w:tcW w:type="dxa" w:w="2693"/>
            <w:shd w:fill="F4F6F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5"/>
              </w:rPr>
              <w:t>63.66 rec/s at c64</w:t>
            </w:r>
          </w:p>
        </w:tc>
      </w:tr>
    </w:tbl>
    <w:p>
      <w:pPr>
        <w:pStyle w:val="Heading2"/>
      </w:pPr>
      <w:r>
        <w:t>Decision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44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108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Top-1</w:t>
            </w:r>
          </w:p>
        </w:tc>
        <w:tc>
          <w:tcPr>
            <w:tcW w:type="dxa" w:w="115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Top-3</w:t>
            </w:r>
          </w:p>
        </w:tc>
        <w:tc>
          <w:tcPr>
            <w:tcW w:type="dxa" w:w="115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Runtime</w:t>
            </w:r>
          </w:p>
        </w:tc>
        <w:tc>
          <w:tcPr>
            <w:tcW w:type="dxa" w:w="345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Calibrated scorer</w:t>
            </w:r>
          </w:p>
        </w:tc>
        <w:tc>
          <w:tcPr>
            <w:tcW w:type="dxa" w:w="108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15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79.3%</w:t>
            </w:r>
          </w:p>
        </w:tc>
        <w:tc>
          <w:tcPr>
            <w:tcW w:type="dxa" w:w="115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None</w:t>
            </w:r>
          </w:p>
        </w:tc>
        <w:tc>
          <w:tcPr>
            <w:tcW w:type="dxa" w:w="34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Fallback when only rank one matters</w:t>
            </w:r>
          </w:p>
        </w:tc>
      </w:tr>
      <w:tr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2B SFT</w:t>
            </w:r>
          </w:p>
        </w:tc>
        <w:tc>
          <w:tcPr>
            <w:tcW w:type="dxa" w:w="108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15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86.7%</w:t>
            </w:r>
          </w:p>
        </w:tc>
        <w:tc>
          <w:tcPr>
            <w:tcW w:type="dxa" w:w="115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Low</w:t>
            </w:r>
          </w:p>
        </w:tc>
        <w:tc>
          <w:tcPr>
            <w:tcW w:type="dxa" w:w="34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Selected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2B GRPO-10</w:t>
            </w:r>
          </w:p>
        </w:tc>
        <w:tc>
          <w:tcPr>
            <w:tcW w:type="dxa" w:w="108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15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86.0%</w:t>
            </w:r>
          </w:p>
        </w:tc>
        <w:tc>
          <w:tcPr>
            <w:tcW w:type="dxa" w:w="115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Low</w:t>
            </w:r>
          </w:p>
        </w:tc>
        <w:tc>
          <w:tcPr>
            <w:tcW w:type="dxa" w:w="34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Ablation / future continuation</w:t>
            </w:r>
          </w:p>
        </w:tc>
      </w:tr>
      <w:tr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Frontier APIs</w:t>
            </w:r>
          </w:p>
        </w:tc>
        <w:tc>
          <w:tcPr>
            <w:tcW w:type="dxa" w:w="108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80–84%</w:t>
            </w:r>
          </w:p>
        </w:tc>
        <w:tc>
          <w:tcPr>
            <w:tcW w:type="dxa" w:w="115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79.3–88%</w:t>
            </w:r>
          </w:p>
        </w:tc>
        <w:tc>
          <w:tcPr>
            <w:tcW w:type="dxa" w:w="115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API</w:t>
            </w:r>
          </w:p>
        </w:tc>
        <w:tc>
          <w:tcPr>
            <w:tcW w:type="dxa" w:w="34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Teacher/comparator, not deployment</w:t>
            </w:r>
          </w:p>
        </w:tc>
      </w:tr>
    </w:tbl>
    <w:p>
      <w:pPr>
        <w:pStyle w:val="Heading2"/>
      </w:pPr>
      <w:r>
        <w:t>What made the result credible</w:t>
      </w:r>
    </w:p>
    <w:p>
      <w:pPr>
        <w:ind w:left="259" w:hanging="187"/>
      </w:pPr>
      <w:r>
        <w:t xml:space="preserve">•  </w:t>
      </w:r>
      <w:r>
        <w:t>All experimental roles were disjoint; golden-risk overlap was zero.</w:t>
      </w:r>
    </w:p>
    <w:p>
      <w:pPr>
        <w:ind w:left="259" w:hanging="187"/>
      </w:pPr>
      <w:r>
        <w:t xml:space="preserve">•  </w:t>
      </w:r>
      <w:r>
        <w:t>The canonical prompt builder controlled teacher, SFT, GRPO, and evaluation inputs.</w:t>
      </w:r>
    </w:p>
    <w:p>
      <w:pPr>
        <w:ind w:left="259" w:hanging="187"/>
      </w:pPr>
      <w:r>
        <w:t xml:space="preserve">•  </w:t>
      </w:r>
      <w:r>
        <w:t>Reward weights were frozen before golden evaluation; the golden set was not used for tuning.</w:t>
      </w:r>
    </w:p>
    <w:p>
      <w:pPr>
        <w:ind w:left="259" w:hanging="187"/>
      </w:pPr>
      <w:r>
        <w:t xml:space="preserve">•  </w:t>
      </w:r>
      <w:r>
        <w:t>Claims in this report are tied to machine-readable summaries, run records, and hashes.</w:t>
      </w:r>
    </w:p>
    <w:p>
      <w:pPr>
        <w:pStyle w:val="SmallBody"/>
      </w:pPr>
      <w:r>
        <w:rPr>
          <w:b/>
        </w:rPr>
        <w:t xml:space="preserve">Git repository: </w:t>
      </w:r>
      <w:hyperlink r:id="rId12">
        <w:r>
          <w:rPr>
            <w:color w:val="2C6ECB"/>
            <w:u w:val="single"/>
          </w:rPr>
          <w:t>https://github.com/lakshaychhabra/reranking-optimisation</w:t>
        </w:r>
      </w:hyperlink>
    </w:p>
    <w:p>
      <w:pPr>
        <w:pStyle w:val="SmallBody"/>
      </w:pPr>
      <w:r>
        <w:rPr>
          <w:b/>
        </w:rPr>
        <w:t xml:space="preserve">Hugging Face dataset: </w:t>
      </w:r>
      <w:hyperlink r:id="rId13">
        <w:r>
          <w:rPr>
            <w:color w:val="2C6ECB"/>
            <w:u w:val="single"/>
          </w:rPr>
          <w:t>https://huggingface.co/datasets/lakshaychhabra/wg-recommendation-data</w:t>
        </w:r>
      </w:hyperlink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03 / PROBLEM CONTRACT</w:t>
      </w:r>
    </w:p>
    <w:p>
      <w:pPr>
        <w:pStyle w:val="Heading1"/>
      </w:pPr>
      <w:r>
        <w:t>Task and success criteria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Given a building risk and its priced quote panel, return three distinct offered tariffs in ranked JSON; the primary target was held-out Top-1 agreement above 80%.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88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52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Top-1 agreement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First recommendation equals reference rank one</w:t>
            </w:r>
          </w:p>
        </w:tc>
        <w:tc>
          <w:tcPr>
            <w:tcW w:type="dxa" w:w="35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Primary assignment measure</w:t>
            </w:r>
          </w:p>
        </w:tc>
      </w:tr>
      <w:tr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Top-3 recall</w:t>
            </w:r>
          </w:p>
        </w:tc>
        <w:tc>
          <w:tcPr>
            <w:tcW w:type="dxa" w:w="38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Reference tariffs recovered across three slots</w:t>
            </w:r>
          </w:p>
        </w:tc>
        <w:tc>
          <w:tcPr>
            <w:tcW w:type="dxa" w:w="352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Measures shortlist usefulness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Strict JSON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Exact required schema</w:t>
            </w:r>
          </w:p>
        </w:tc>
        <w:tc>
          <w:tcPr>
            <w:tcW w:type="dxa" w:w="35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Operational reliability</w:t>
            </w:r>
          </w:p>
        </w:tc>
      </w:tr>
      <w:tr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Reward ratio</w:t>
            </w:r>
          </w:p>
        </w:tc>
        <w:tc>
          <w:tcPr>
            <w:tcW w:type="dxa" w:w="38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Supplied reward of model rank one / scenario maximum</w:t>
            </w:r>
          </w:p>
        </w:tc>
        <w:tc>
          <w:tcPr>
            <w:tcW w:type="dxa" w:w="352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Audits quality–price trade-off; not ground truth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Serving cost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Measured GPU cost per 1,000</w:t>
            </w:r>
          </w:p>
        </w:tc>
        <w:tc>
          <w:tcPr>
            <w:tcW w:type="dxa" w:w="35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Deployment economics</w:t>
            </w:r>
          </w:p>
        </w:tc>
      </w:tr>
    </w:tbl>
    <w:p>
      <w:pPr>
        <w:pStyle w:val="Heading2"/>
      </w:pPr>
      <w:r>
        <w:t>Reference hierarchy</w:t>
      </w:r>
    </w:p>
    <w:p>
      <w:r>
        <w:t>Fable rankings are the held-out evaluation reference. GPT-6 Sol is scalable silver supervision. The calibrated numeric reward is a deterministic approximation to that teacher. The objects are related, but none should be presented as objective truth.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F4F6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Important correction</w:t>
            </w:r>
          </w:p>
          <w:p>
            <w:pPr>
              <w:spacing w:after="0"/>
            </w:pPr>
            <w:r>
              <w:t>The supplied 9B model scored 42%. Our experiment did not fine-tune that model: our unchanged 2B base scored 22%, and our 2B SFT checkpoint scored 84%. Therefore the training gain is 0.22 → 0.84; 0.42 is a separate assignment reference.</w:t>
            </w:r>
          </w:p>
        </w:tc>
      </w:tr>
    </w:tbl>
    <w:p>
      <w:pPr>
        <w:pStyle w:val="Heading2"/>
      </w:pPr>
      <w:r>
        <w:t>Output contract</w:t>
      </w:r>
    </w:p>
    <w:p>
      <w:pPr>
        <w:pStyle w:val="SmallBody"/>
      </w:pPr>
      <w:r>
        <w:t>{"top_3":[{"rank":1,"tariff_id":"49"},{"rank":2,"tariff_id":"48"},{"rank":3,"tariff_id":"162"}]}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04 / HOW THE WORK FITS TOGETHER</w:t>
      </w:r>
    </w:p>
    <w:p>
      <w:pPr>
        <w:pStyle w:val="Heading1"/>
      </w:pPr>
      <w:r>
        <w:t>System and experimental pipeline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One canonical prompt and explicit data roles connected scenario generation, real quote collection, teacher labels, reward calibration, SFT, GRPO, and evaluation.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54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taset-funnel-and-spl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Dataset funnel and experimental separation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60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67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Risk controlled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Scenario identity</w:t>
            </w:r>
          </w:p>
        </w:tc>
        <w:tc>
          <w:tcPr>
            <w:tcW w:type="dxa" w:w="36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Hash of normalized risk JSON</w:t>
            </w:r>
          </w:p>
        </w:tc>
        <w:tc>
          <w:tcPr>
            <w:tcW w:type="dxa" w:w="367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Duplicate leakage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Quote access</w:t>
            </w:r>
          </w:p>
        </w:tc>
        <w:tc>
          <w:tcPr>
            <w:tcW w:type="dxa" w:w="36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Cached client; ≥3 s live-call spacing</w:t>
            </w:r>
          </w:p>
        </w:tc>
        <w:tc>
          <w:tcPr>
            <w:tcW w:type="dxa" w:w="367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Cost and rate safety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Prompt construction</w:t>
            </w:r>
          </w:p>
        </w:tc>
        <w:tc>
          <w:tcPr>
            <w:tcW w:type="dxa" w:w="36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src/prompt.py only</w:t>
            </w:r>
          </w:p>
        </w:tc>
        <w:tc>
          <w:tcPr>
            <w:tcW w:type="dxa" w:w="367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Training/evaluation drift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Quote order</w:t>
            </w:r>
          </w:p>
        </w:tc>
        <w:tc>
          <w:tcPr>
            <w:tcW w:type="dxa" w:w="36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Seeded shuffle with stored mapping</w:t>
            </w:r>
          </w:p>
        </w:tc>
        <w:tc>
          <w:tcPr>
            <w:tcW w:type="dxa" w:w="367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Positional bias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boundary</w:t>
            </w:r>
          </w:p>
        </w:tc>
        <w:tc>
          <w:tcPr>
            <w:tcW w:type="dxa" w:w="36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Final evaluation only</w:t>
            </w:r>
          </w:p>
        </w:tc>
        <w:tc>
          <w:tcPr>
            <w:tcW w:type="dxa" w:w="367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Selection leakage</w:t>
            </w:r>
          </w:p>
        </w:tc>
      </w:tr>
    </w:tbl>
    <w:p>
      <w:pPr>
        <w:pStyle w:val="Heading2"/>
      </w:pPr>
      <w:r>
        <w:t>Why this architecture</w:t>
      </w:r>
    </w:p>
    <w:p>
      <w:r>
        <w:t>The design separates four questions: Can we create representative quote panels? Can a teacher provide consistent rankings? Can a deterministic reward capture the teacher’s preference? Can a small learned policy generalize beyond that formula? This makes failures attributable rather than mixing data, objective, and optimization effects.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05 / INPUTS</w:t>
      </w:r>
    </w:p>
    <w:p>
      <w:pPr>
        <w:pStyle w:val="Heading1"/>
      </w:pPr>
      <w:r>
        <w:t>Dataset creation and coverage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The final corpus contains 1,490 usable scenarios and 9,632 live-engine quotes, then assigns every scenario exactly one experimental role.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92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set-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Scenario and quote-panel coverage in the generated corpus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44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144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</w:t>
            </w:r>
          </w:p>
        </w:tc>
        <w:tc>
          <w:tcPr>
            <w:tcW w:type="dxa" w:w="244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Labels</w:t>
            </w:r>
          </w:p>
        </w:tc>
        <w:tc>
          <w:tcPr>
            <w:tcW w:type="dxa" w:w="403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Reward calibration</w:t>
            </w:r>
          </w:p>
        </w:tc>
        <w:tc>
          <w:tcPr>
            <w:tcW w:type="dxa" w:w="144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200</w:t>
            </w:r>
          </w:p>
        </w:tc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Teacher</w:t>
            </w:r>
          </w:p>
        </w:tc>
        <w:tc>
          <w:tcPr>
            <w:tcW w:type="dxa" w:w="403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Reward selection and validation</w:t>
            </w:r>
          </w:p>
        </w:tc>
      </w:tr>
      <w:tr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SFT train / validation</w:t>
            </w:r>
          </w:p>
        </w:tc>
        <w:tc>
          <w:tcPr>
            <w:tcW w:type="dxa" w:w="144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300 / 90</w:t>
            </w:r>
          </w:p>
        </w:tc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Teacher</w:t>
            </w:r>
          </w:p>
        </w:tc>
        <w:tc>
          <w:tcPr>
            <w:tcW w:type="dxa" w:w="403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Imitation and checkpoint selection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GRPO train / validation</w:t>
            </w:r>
          </w:p>
        </w:tc>
        <w:tc>
          <w:tcPr>
            <w:tcW w:type="dxa" w:w="144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810 / 90</w:t>
            </w:r>
          </w:p>
        </w:tc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Train labels omitted</w:t>
            </w:r>
          </w:p>
        </w:tc>
        <w:tc>
          <w:tcPr>
            <w:tcW w:type="dxa" w:w="403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Policy optimization and offline gate</w:t>
            </w:r>
          </w:p>
        </w:tc>
      </w:tr>
      <w:tr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</w:t>
            </w:r>
          </w:p>
        </w:tc>
        <w:tc>
          <w:tcPr>
            <w:tcW w:type="dxa" w:w="144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50</w:t>
            </w:r>
          </w:p>
        </w:tc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Fable</w:t>
            </w:r>
          </w:p>
        </w:tc>
        <w:tc>
          <w:tcPr>
            <w:tcW w:type="dxa" w:w="403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Final reporting only</w:t>
            </w:r>
          </w:p>
        </w:tc>
      </w:tr>
    </w:tbl>
    <w:p>
      <w:pPr>
        <w:pStyle w:val="Heading2"/>
      </w:pPr>
      <w:r>
        <w:t>Checks</w:t>
      </w:r>
    </w:p>
    <w:p>
      <w:pPr>
        <w:ind w:left="259" w:hanging="187"/>
      </w:pPr>
      <w:r>
        <w:t xml:space="preserve">•  </w:t>
      </w:r>
      <w:r>
        <w:t>1,490 assignments were disjoint and exhaustive.</w:t>
      </w:r>
    </w:p>
    <w:p>
      <w:pPr>
        <w:ind w:left="259" w:hanging="187"/>
      </w:pPr>
      <w:r>
        <w:t xml:space="preserve">•  </w:t>
      </w:r>
      <w:r>
        <w:t>No generated risk exactly overlapped a golden risk.</w:t>
      </w:r>
    </w:p>
    <w:p>
      <w:pPr>
        <w:ind w:left="259" w:hanging="187"/>
      </w:pPr>
      <w:r>
        <w:t xml:space="preserve">•  </w:t>
      </w:r>
      <w:r>
        <w:t>Final panels span five insurers and nine tariff IDs.</w:t>
      </w:r>
    </w:p>
    <w:p>
      <w:pPr>
        <w:ind w:left="259" w:hanging="187"/>
      </w:pPr>
      <w:r>
        <w:t xml:space="preserve">•  </w:t>
      </w:r>
      <w:r>
        <w:t>Only panels with at least three offered quotes entered training.</w:t>
      </w:r>
    </w:p>
    <w:p>
      <w:pPr>
        <w:pStyle w:val="SourceNote"/>
      </w:pPr>
      <w:r>
        <w:t>Scope note: generated risks and the finite product catalogue support a controlled experiment, not a claim of complete production-population coverage.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06 / SILVER LABELS</w:t>
      </w:r>
    </w:p>
    <w:p>
      <w:pPr>
        <w:pStyle w:val="Heading1"/>
      </w:pPr>
      <w:r>
        <w:t>Teacher model and supervision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GPT-6 Sol produced 1,490 ranked Top-3 labels for $3.64 in the batch run; including teacher selection, the label programme cost approximately $3.80.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331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90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Verified value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Teacher</w:t>
            </w:r>
          </w:p>
        </w:tc>
        <w:tc>
          <w:tcPr>
            <w:tcW w:type="dxa" w:w="590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GPT-6 Sol</w:t>
            </w:r>
          </w:p>
        </w:tc>
      </w:tr>
      <w:tr>
        <w:tc>
          <w:tcPr>
            <w:tcW w:type="dxa" w:w="33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Annotations</w:t>
            </w:r>
          </w:p>
        </w:tc>
        <w:tc>
          <w:tcPr>
            <w:tcW w:type="dxa" w:w="590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1,490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Input / output tokens</w:t>
            </w:r>
          </w:p>
        </w:tc>
        <w:tc>
          <w:tcPr>
            <w:tcW w:type="dxa" w:w="590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1,546,926 / 417,797</w:t>
            </w:r>
          </w:p>
        </w:tc>
      </w:tr>
      <w:tr>
        <w:tc>
          <w:tcPr>
            <w:tcW w:type="dxa" w:w="33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Batch annotation cost</w:t>
            </w:r>
          </w:p>
        </w:tc>
        <w:tc>
          <w:tcPr>
            <w:tcW w:type="dxa" w:w="590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$3.635911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Teacher selection + labels</w:t>
            </w:r>
          </w:p>
        </w:tc>
        <w:tc>
          <w:tcPr>
            <w:tcW w:type="dxa" w:w="590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≈$3.80</w:t>
            </w:r>
          </w:p>
        </w:tc>
      </w:tr>
      <w:tr>
        <w:tc>
          <w:tcPr>
            <w:tcW w:type="dxa" w:w="33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Observed golden Top-1</w:t>
            </w:r>
          </w:p>
        </w:tc>
        <w:tc>
          <w:tcPr>
            <w:tcW w:type="dxa" w:w="590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 (42/50)</w:t>
            </w:r>
          </w:p>
        </w:tc>
      </w:tr>
    </w:tbl>
    <w:p>
      <w:pPr>
        <w:pStyle w:val="Heading2"/>
      </w:pPr>
      <w:r>
        <w:t>Why use a teacher</w:t>
      </w:r>
    </w:p>
    <w:p>
      <w:r>
        <w:t>Direct Fable labels were available only for the locked 50-scenario benchmark. A frontier teacher made task-specific supervision affordable at 1,490-scenario scale. The same canonical prompt and quote-ID mapping were used throughout, and the raw numeric reward was not exposed to the teacher.</w:t>
      </w:r>
    </w:p>
    <w:p>
      <w:pPr>
        <w:pStyle w:val="Heading2"/>
      </w:pPr>
      <w:r>
        <w:t>What the 84% teacher result means</w:t>
      </w:r>
    </w:p>
    <w:p>
      <w:r>
        <w:t>It is an observed ceiling for this supervision pipeline, not a theorem about all possible models. SFT matching 84% indicates that additional optimization against the same teacher/reward proxy had limited demonstrated headroom against Fable. Better expert labels could change that ceiling.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F4F6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Economic motivation</w:t>
            </w:r>
          </w:p>
          <w:p>
            <w:pPr>
              <w:spacing w:after="0"/>
            </w:pPr>
            <w:r>
              <w:t>A frontier/Fable-quality API route, represented by the evaluated Gemini and GPT-5.4 comparators, was materially more expensive than the supplied 9B reference: about 5× and 7× its per-recommendation cost. This is a comparator-based estimate, not a measured Fable tariff. Teacher-supervised fine-tuning aimed to retain that ranking quality in a self-hostable 2B model.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07 / OBJECTIVE DESIGN</w:t>
      </w:r>
    </w:p>
    <w:p>
      <w:pPr>
        <w:pStyle w:val="Heading1"/>
      </w:pPr>
      <w:r>
        <w:t>Reward grid search and validation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Reward calibration showed that the effective task was a quality–price trade-off; a frozen deterministic scorer matched 84% Fable Top-1 but remained weaker on the full Top-3.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58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ward-calib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Twenty-thousand-candidate search and held-out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03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Evaluation</w:t>
            </w:r>
          </w:p>
        </w:tc>
        <w:tc>
          <w:tcPr>
            <w:tcW w:type="dxa" w:w="252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66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Frozen calibrated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Calibration Top-1</w:t>
            </w:r>
          </w:p>
        </w:tc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49%</w:t>
            </w:r>
          </w:p>
        </w:tc>
        <w:tc>
          <w:tcPr>
            <w:tcW w:type="dxa" w:w="26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94%</w:t>
            </w:r>
          </w:p>
        </w:tc>
      </w:tr>
      <w:tr>
        <w:tc>
          <w:tcPr>
            <w:tcW w:type="dxa" w:w="403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Calibration Top-3 recall</w:t>
            </w:r>
          </w:p>
        </w:tc>
        <w:tc>
          <w:tcPr>
            <w:tcW w:type="dxa" w:w="25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68.8%</w:t>
            </w:r>
          </w:p>
        </w:tc>
        <w:tc>
          <w:tcPr>
            <w:tcW w:type="dxa" w:w="266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84.2%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Top-1</w:t>
            </w:r>
          </w:p>
        </w:tc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38%</w:t>
            </w:r>
          </w:p>
        </w:tc>
        <w:tc>
          <w:tcPr>
            <w:tcW w:type="dxa" w:w="26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</w:tr>
      <w:tr>
        <w:tc>
          <w:tcPr>
            <w:tcW w:type="dxa" w:w="403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Top-3 recall</w:t>
            </w:r>
          </w:p>
        </w:tc>
        <w:tc>
          <w:tcPr>
            <w:tcW w:type="dxa" w:w="25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65.3%</w:t>
            </w:r>
          </w:p>
        </w:tc>
        <w:tc>
          <w:tcPr>
            <w:tcW w:type="dxa" w:w="266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79.3%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pairwise</w:t>
            </w:r>
          </w:p>
        </w:tc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66.0%</w:t>
            </w:r>
          </w:p>
        </w:tc>
        <w:tc>
          <w:tcPr>
            <w:tcW w:type="dxa" w:w="266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90.4%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F4F6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Frozen formula</w:t>
            </w:r>
          </w:p>
          <w:p>
            <w:pPr>
              <w:spacing w:after="0"/>
            </w:pPr>
            <w:r>
              <w:t>reward = (0.2863 + 0.4273 × scoreₙ) / (1 + 1.7936 × priceₙ)</w:t>
            </w:r>
          </w:p>
        </w:tc>
      </w:tr>
    </w:tbl>
    <w:p>
      <w:pPr>
        <w:pStyle w:val="SmallBody"/>
      </w:pPr>
      <w:r>
        <w:t>The selected weights were unchanged during validation; calibration used no golden labels and no LLM calls. A permutation negative control returned chance-level pairwise ranking, reducing the risk that the search merely manufactured agreement.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08 / WHY THIS MODEL</w:t>
      </w:r>
    </w:p>
    <w:p>
      <w:pPr>
        <w:pStyle w:val="Heading1"/>
      </w:pPr>
      <w:r>
        <w:t>Model selection and training design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Qwen3.5-2B was chosen to challenge the assumption that a 9B model was necessary; BF16 LoRA kept the experiment transparent and operationally simple.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02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Selected</w:t>
            </w:r>
          </w:p>
        </w:tc>
        <w:tc>
          <w:tcPr>
            <w:tcW w:type="dxa" w:w="432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Base model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Qwen3.5-2B</w:t>
            </w:r>
          </w:p>
        </w:tc>
        <w:tc>
          <w:tcPr>
            <w:tcW w:type="dxa" w:w="43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Small enough to test the capacity hypothesis; modern instruction base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Adaptation</w:t>
            </w:r>
          </w:p>
        </w:tc>
        <w:tc>
          <w:tcPr>
            <w:tcW w:type="dxa" w:w="30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BF16 LoRA</w:t>
            </w:r>
          </w:p>
        </w:tc>
        <w:tc>
          <w:tcPr>
            <w:tcW w:type="dxa" w:w="43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Simple pipeline; no quantization confound; fits available GPU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LoRA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rank 16 / alpha 16 / dropout 0</w:t>
            </w:r>
          </w:p>
        </w:tc>
        <w:tc>
          <w:tcPr>
            <w:tcW w:type="dxa" w:w="43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10.9M trainable parameters (0.49%)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SFT data</w:t>
            </w:r>
          </w:p>
        </w:tc>
        <w:tc>
          <w:tcPr>
            <w:tcW w:type="dxa" w:w="30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300 train / 90 validation</w:t>
            </w:r>
          </w:p>
        </w:tc>
        <w:tc>
          <w:tcPr>
            <w:tcW w:type="dxa" w:w="43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Independent teacher-labelled pool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SFT schedule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 epochs / 21 steps</w:t>
            </w:r>
          </w:p>
        </w:tc>
        <w:tc>
          <w:tcPr>
            <w:tcW w:type="dxa" w:w="43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Validation-loss checkpoint selection</w:t>
            </w:r>
          </w:p>
        </w:tc>
      </w:tr>
      <w:tr>
        <w:tc>
          <w:tcPr>
            <w:tcW w:type="dxa" w:w="208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Loss</w:t>
            </w:r>
          </w:p>
        </w:tc>
        <w:tc>
          <w:tcPr>
            <w:tcW w:type="dxa" w:w="30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Completion only</w:t>
            </w:r>
          </w:p>
        </w:tc>
        <w:tc>
          <w:tcPr>
            <w:tcW w:type="dxa" w:w="43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Learn output policy without fitting prompt tokens</w:t>
            </w:r>
          </w:p>
        </w:tc>
      </w:tr>
    </w:tbl>
    <w:p>
      <w:pPr>
        <w:pStyle w:val="Heading2"/>
      </w:pPr>
      <w:r>
        <w:t>Why not QLoRA</w:t>
      </w:r>
    </w:p>
    <w:p>
      <w:r>
        <w:t>The full BF16 base plus LoRA fit the selected hardware, so quantization was not required. Avoiding QLoRA kept the experiment simpler and removed another variable from a short, decision-oriented comparison.</w:t>
      </w:r>
    </w:p>
    <w:p>
      <w:pPr>
        <w:pStyle w:val="Heading2"/>
      </w:pPr>
      <w:r>
        <w:t>What would change the model choice</w:t>
      </w:r>
    </w:p>
    <w:p>
      <w:r>
        <w:t>If time allowed, the next capacity experiment would test ≤1B models under the same split and evaluation contract. The 2B result supports—not exhausts—the hypothesis that this structured task needs far less than 9B parameters.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09 / MAIN MODEL GAIN</w:t>
      </w:r>
    </w:p>
    <w:p>
      <w:pPr>
        <w:pStyle w:val="Heading1"/>
      </w:pPr>
      <w:r>
        <w:t>Supervised fine-tuning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SFT transformed both ranking quality and operational reliability: 22% → 84% Top-1 and 2% → 100% strict JSON.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64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ft-trai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SFT learning curve and selected 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16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Golden metric</w:t>
            </w:r>
          </w:p>
        </w:tc>
        <w:tc>
          <w:tcPr>
            <w:tcW w:type="dxa" w:w="180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2B base</w:t>
            </w:r>
          </w:p>
        </w:tc>
        <w:tc>
          <w:tcPr>
            <w:tcW w:type="dxa" w:w="180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2B SFT</w:t>
            </w:r>
          </w:p>
        </w:tc>
        <w:tc>
          <w:tcPr>
            <w:tcW w:type="dxa" w:w="244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Top-1</w:t>
            </w:r>
          </w:p>
        </w:tc>
        <w:tc>
          <w:tcPr>
            <w:tcW w:type="dxa" w:w="18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22%</w:t>
            </w:r>
          </w:p>
        </w:tc>
        <w:tc>
          <w:tcPr>
            <w:tcW w:type="dxa" w:w="18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+62 pp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Top-3 recall</w:t>
            </w:r>
          </w:p>
        </w:tc>
        <w:tc>
          <w:tcPr>
            <w:tcW w:type="dxa" w:w="18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66.7%</w:t>
            </w:r>
          </w:p>
        </w:tc>
        <w:tc>
          <w:tcPr>
            <w:tcW w:type="dxa" w:w="18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86.7%</w:t>
            </w:r>
          </w:p>
        </w:tc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+20 pp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Strict JSON</w:t>
            </w:r>
          </w:p>
        </w:tc>
        <w:tc>
          <w:tcPr>
            <w:tcW w:type="dxa" w:w="18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2%</w:t>
            </w:r>
          </w:p>
        </w:tc>
        <w:tc>
          <w:tcPr>
            <w:tcW w:type="dxa" w:w="18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type="dxa" w:w="244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+98 pp</w:t>
            </w:r>
          </w:p>
        </w:tc>
      </w:tr>
      <w:tr>
        <w:tc>
          <w:tcPr>
            <w:tcW w:type="dxa" w:w="316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Valid three unique IDs</w:t>
            </w:r>
          </w:p>
        </w:tc>
        <w:tc>
          <w:tcPr>
            <w:tcW w:type="dxa" w:w="18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type="dxa" w:w="18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type="dxa" w:w="244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Maintained</w:t>
            </w:r>
          </w:p>
        </w:tc>
      </w:tr>
    </w:tbl>
    <w:p>
      <w:pPr>
        <w:pStyle w:val="Heading2"/>
      </w:pPr>
      <w:r>
        <w:t>Interpretation</w:t>
      </w:r>
    </w:p>
    <w:p>
      <w:r>
        <w:t>The improvement is not merely format compliance: Top-1 and Top-3 both rose sharply. The selected model’s lower supplied-reward ratio than price-dominant baselines reflects a deliberate shift toward the teacher/Fable quality preference, not an internal contradiction.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F4F6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Selection rule</w:t>
            </w:r>
          </w:p>
          <w:p>
            <w:pPr>
              <w:spacing w:after="0"/>
            </w:pPr>
            <w:r>
              <w:t>The SFT checkpoint was selected from validation loss on its own 90-scenario split. Golden results were reported afterward and were not used to choose SFT steps or hyperparameters.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10 / POLICY OPTIMIZATION</w:t>
      </w:r>
    </w:p>
    <w:p>
      <w:pPr>
        <w:pStyle w:val="Heading1"/>
      </w:pPr>
      <w:r>
        <w:t>GRPO continuation: useful signal, limited evidence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GRPO did not fail: it was stable and fixed one development Top-1 error. Ten steps were insufficient to demonstrate a broad improvement beyond an SFT model already at the teacher’s observed Fable agreement.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40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po-trai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Ten-step GRPO training diagnostics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88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Evaluation</w:t>
            </w:r>
          </w:p>
        </w:tc>
        <w:tc>
          <w:tcPr>
            <w:tcW w:type="dxa" w:w="165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SFT</w:t>
            </w:r>
          </w:p>
        </w:tc>
        <w:tc>
          <w:tcPr>
            <w:tcW w:type="dxa" w:w="165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GRPO-10</w:t>
            </w:r>
          </w:p>
        </w:tc>
        <w:tc>
          <w:tcPr>
            <w:tcW w:type="dxa" w:w="302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Observed change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Development Top-1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83/90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84/90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+1 corrected scenario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Development Top-3 recall</w:t>
            </w:r>
          </w:p>
        </w:tc>
        <w:tc>
          <w:tcPr>
            <w:tcW w:type="dxa" w:w="16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87.0%</w:t>
            </w:r>
          </w:p>
        </w:tc>
        <w:tc>
          <w:tcPr>
            <w:tcW w:type="dxa" w:w="16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86.3%</w:t>
            </w:r>
          </w:p>
        </w:tc>
        <w:tc>
          <w:tcPr>
            <w:tcW w:type="dxa" w:w="30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Small net loss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Top-1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42/50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42/50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 change</w:t>
            </w:r>
          </w:p>
        </w:tc>
      </w:tr>
      <w:tr>
        <w:tc>
          <w:tcPr>
            <w:tcW w:type="dxa" w:w="288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Golden Top-3 recall</w:t>
            </w:r>
          </w:p>
        </w:tc>
        <w:tc>
          <w:tcPr>
            <w:tcW w:type="dxa" w:w="16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86.7%</w:t>
            </w:r>
          </w:p>
        </w:tc>
        <w:tc>
          <w:tcPr>
            <w:tcW w:type="dxa" w:w="165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86.0%</w:t>
            </w:r>
          </w:p>
        </w:tc>
        <w:tc>
          <w:tcPr>
            <w:tcW w:type="dxa" w:w="30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One fewer hit / 150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Strict JSON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type="dxa" w:w="165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type="dxa" w:w="30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 degradation</w:t>
            </w:r>
          </w:p>
        </w:tc>
      </w:tr>
    </w:tbl>
    <w:p>
      <w:pPr>
        <w:pStyle w:val="Heading2"/>
      </w:pPr>
      <w:r>
        <w:t>Why stop</w:t>
      </w:r>
    </w:p>
    <w:p>
      <w:pPr>
        <w:ind w:left="259" w:hanging="187"/>
      </w:pPr>
      <w:r>
        <w:t xml:space="preserve">•  </w:t>
      </w:r>
      <w:r>
        <w:t>The assignment’s &gt;80% objective was already exceeded by SFT.</w:t>
      </w:r>
    </w:p>
    <w:p>
      <w:pPr>
        <w:ind w:left="259" w:hanging="187"/>
      </w:pPr>
      <w:r>
        <w:t xml:space="preserve">•  </w:t>
      </w:r>
      <w:r>
        <w:t>SFT matched the teacher’s observed 84% Fable Top-1.</w:t>
      </w:r>
    </w:p>
    <w:p>
      <w:pPr>
        <w:ind w:left="259" w:hanging="187"/>
      </w:pPr>
      <w:r>
        <w:t xml:space="preserve">•  </w:t>
      </w:r>
      <w:r>
        <w:t>Additional optimization would still target a silver reward proxy, not independent truth.</w:t>
      </w:r>
    </w:p>
    <w:p>
      <w:pPr>
        <w:ind w:left="259" w:hanging="187"/>
      </w:pPr>
      <w:r>
        <w:t xml:space="preserve">•  </w:t>
      </w:r>
      <w:r>
        <w:t>The time budget favored verifying reproducibility and serving economics over an open-ended RL sweep.</w:t>
      </w:r>
    </w:p>
    <w:p>
      <w:pPr>
        <w:pStyle w:val="SourceNote"/>
      </w:pPr>
      <w:r>
        <w:t>Longer training, more samples per prompt, or better supervision could still correct remaining cases. The defensible claim is that ten steps did not establish a broad gain—not that GRPO cannot work.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11 / WHAT WE GOT</w:t>
      </w:r>
    </w:p>
    <w:p>
      <w:pPr>
        <w:pStyle w:val="Heading1"/>
      </w:pPr>
      <w:r>
        <w:t>Final evaluation and model selection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The selected 2B SFT model matched the best observed Top-1 result and produced the strongest balanced Top-3 among the compact deployable options.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09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122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Top-1</w:t>
            </w:r>
          </w:p>
        </w:tc>
        <w:tc>
          <w:tcPr>
            <w:tcW w:type="dxa" w:w="151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Top-3 recall</w:t>
            </w:r>
          </w:p>
        </w:tc>
        <w:tc>
          <w:tcPr>
            <w:tcW w:type="dxa" w:w="1512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Reward ratio</w:t>
            </w:r>
          </w:p>
        </w:tc>
        <w:tc>
          <w:tcPr>
            <w:tcW w:type="dxa" w:w="194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Cost / 1k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Supplied Qwen3.5-9B</w:t>
            </w:r>
          </w:p>
        </w:tc>
        <w:tc>
          <w:tcPr>
            <w:tcW w:type="dxa" w:w="12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42%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66.0%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0.983</w:t>
            </w:r>
          </w:p>
        </w:tc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€0.1869</w:t>
            </w:r>
          </w:p>
        </w:tc>
      </w:tr>
      <w:tr>
        <w:tc>
          <w:tcPr>
            <w:tcW w:type="dxa" w:w="309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Our Qwen3.5-2B base</w:t>
            </w:r>
          </w:p>
        </w:tc>
        <w:tc>
          <w:tcPr>
            <w:tcW w:type="dxa" w:w="12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66.7%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0.844</w:t>
            </w:r>
          </w:p>
        </w:tc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Calibrated scorer</w:t>
            </w:r>
          </w:p>
        </w:tc>
        <w:tc>
          <w:tcPr>
            <w:tcW w:type="dxa" w:w="12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79.3%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0.812</w:t>
            </w:r>
          </w:p>
        </w:tc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 inference</w:t>
            </w:r>
          </w:p>
        </w:tc>
      </w:tr>
      <w:tr>
        <w:tc>
          <w:tcPr>
            <w:tcW w:type="dxa" w:w="309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Our 2B SFT — selected</w:t>
            </w:r>
          </w:p>
        </w:tc>
        <w:tc>
          <w:tcPr>
            <w:tcW w:type="dxa" w:w="12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86.7%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0.812</w:t>
            </w:r>
          </w:p>
        </w:tc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€0.0028–0.0539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Our 2B GRPO-10</w:t>
            </w:r>
          </w:p>
        </w:tc>
        <w:tc>
          <w:tcPr>
            <w:tcW w:type="dxa" w:w="12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86.0%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0.812</w:t>
            </w:r>
          </w:p>
        </w:tc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Same serving class</w:t>
            </w:r>
          </w:p>
        </w:tc>
      </w:tr>
      <w:tr>
        <w:tc>
          <w:tcPr>
            <w:tcW w:type="dxa" w:w="309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Gemini</w:t>
            </w:r>
          </w:p>
        </w:tc>
        <w:tc>
          <w:tcPr>
            <w:tcW w:type="dxa" w:w="12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80%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88.0%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0.763</w:t>
            </w:r>
          </w:p>
        </w:tc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€0.8897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GPT-5.4</w:t>
            </w:r>
          </w:p>
        </w:tc>
        <w:tc>
          <w:tcPr>
            <w:tcW w:type="dxa" w:w="122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79.3%</w:t>
            </w:r>
          </w:p>
        </w:tc>
        <w:tc>
          <w:tcPr>
            <w:tcW w:type="dxa" w:w="1512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0.802</w:t>
            </w:r>
          </w:p>
        </w:tc>
        <w:tc>
          <w:tcPr>
            <w:tcW w:type="dxa" w:w="19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€1.3445</w:t>
            </w:r>
          </w:p>
        </w:tc>
      </w:tr>
      <w:tr>
        <w:tc>
          <w:tcPr>
            <w:tcW w:type="dxa" w:w="309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GPT-6 Sol</w:t>
            </w:r>
          </w:p>
        </w:tc>
        <w:tc>
          <w:tcPr>
            <w:tcW w:type="dxa" w:w="122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84%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86.7%</w:t>
            </w:r>
          </w:p>
        </w:tc>
        <w:tc>
          <w:tcPr>
            <w:tcW w:type="dxa" w:w="1512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0.832</w:t>
            </w:r>
          </w:p>
        </w:tc>
        <w:tc>
          <w:tcPr>
            <w:tcW w:type="dxa" w:w="19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€2.8707</w:t>
            </w:r>
          </w:p>
        </w:tc>
      </w:tr>
    </w:tbl>
    <w:p>
      <w:pPr>
        <w:pStyle w:val="Heading2"/>
      </w:pPr>
      <w:r>
        <w:t>Selection rationale</w:t>
      </w:r>
    </w:p>
    <w:p>
      <w:r>
        <w:t>SFT ties the strongest Top-1, matches GPT-6 Sol Top-3, exceeds the symbolic scorer by 11 recovered Top-3 positions, satisfies the output contract, and has a measured low-cost serving path. GRPO adds complexity without a demonstrated aggregate benefit at the tested budget.</w:t>
      </w:r>
    </w:p>
    <w:p>
      <w:pPr>
        <w:pStyle w:val="SmallBody"/>
      </w:pPr>
      <w:r>
        <w:t>The calibrated scorer remains valuable: if a product consumes only rank one, it offers the same measured Top-1 with no inference. It is not chosen for this deliverable because the required output is a useful ranked Top-3.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12 / PRODUCTION CASE</w:t>
      </w:r>
    </w:p>
    <w:p>
      <w:pPr>
        <w:pStyle w:val="Heading1"/>
      </w:pPr>
      <w:r>
        <w:t>Serving benchmark and economics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A dedicated post-fix vLLM benchmark—not incidental training-run timing—provides the serving figures used for the cost claim.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138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rving-effici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Measured throughput, latency, and utilization on an RTX 4090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81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01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Cost / 1k</w:t>
            </w:r>
          </w:p>
        </w:tc>
        <w:tc>
          <w:tcPr>
            <w:tcW w:type="dxa" w:w="374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Saturated, concurrency 64</w:t>
            </w:r>
          </w:p>
        </w:tc>
        <w:tc>
          <w:tcPr>
            <w:tcW w:type="dxa" w:w="20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€0.002832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Measured; 63.66 rec/s</w:t>
            </w:r>
          </w:p>
        </w:tc>
      </w:tr>
      <w:tr>
        <w:tc>
          <w:tcPr>
            <w:tcW w:type="dxa" w:w="381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50% utilization</w:t>
            </w:r>
          </w:p>
        </w:tc>
        <w:tc>
          <w:tcPr>
            <w:tcW w:type="dxa" w:w="201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€0.005663</w:t>
            </w:r>
          </w:p>
        </w:tc>
        <w:tc>
          <w:tcPr>
            <w:tcW w:type="dxa" w:w="37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Scenario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25% utilization</w:t>
            </w:r>
          </w:p>
        </w:tc>
        <w:tc>
          <w:tcPr>
            <w:tcW w:type="dxa" w:w="20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€0.011327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Scenario—not a recommendation</w:t>
            </w:r>
          </w:p>
        </w:tc>
      </w:tr>
      <w:tr>
        <w:tc>
          <w:tcPr>
            <w:tcW w:type="dxa" w:w="381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10% utilization</w:t>
            </w:r>
          </w:p>
        </w:tc>
        <w:tc>
          <w:tcPr>
            <w:tcW w:type="dxa" w:w="201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€0.028317</w:t>
            </w:r>
          </w:p>
        </w:tc>
        <w:tc>
          <w:tcPr>
            <w:tcW w:type="dxa" w:w="37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Scenario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Unbatched / concurrency 1</w:t>
            </w:r>
          </w:p>
        </w:tc>
        <w:tc>
          <w:tcPr>
            <w:tcW w:type="dxa" w:w="201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€0.053899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Measured lower-throughput mode</w:t>
            </w:r>
          </w:p>
        </w:tc>
      </w:tr>
    </w:tbl>
    <w:p>
      <w:pPr>
        <w:pStyle w:val="Heading2"/>
      </w:pPr>
      <w:r>
        <w:t>Timing caveat</w:t>
      </w:r>
    </w:p>
    <w:p>
      <w:r>
        <w:t>Early end-to-end runs took longer because FlashAttention was not functioning correctly; that environment issue was later fixed. For this reason, the report does not infer production latency from training or ad-hoc evaluation timestamps. It uses the separate serving benchmark: 1,200 requests, p50 1.003 s, p95 1.105 s, 90.7% mean GPU utilization, and 100% valid outputs.</w:t>
      </w:r>
    </w:p>
    <w:p>
      <w:pPr>
        <w:pStyle w:val="Heading2"/>
      </w:pPr>
      <w:r>
        <w:t>Cost boundaries</w:t>
      </w:r>
    </w:p>
    <w:p>
      <w:pPr>
        <w:pStyle w:val="SourceNote"/>
      </w:pPr>
      <w:r>
        <w:t>Serving estimates use a $0.74/hour RTX 4090 and are GPU-only. Storage, networking, cold starts, redundancy, monitoring, and engineering operations are excluded.</w:t>
      </w:r>
    </w:p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13 / CAN IT BE RERUN</w:t>
      </w:r>
    </w:p>
    <w:p>
      <w:pPr>
        <w:pStyle w:val="Heading1"/>
      </w:pPr>
      <w:r>
        <w:t>Spend, reproducibility, and delivery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The complete billed experiment cost approximately $7.80, and the release package preserves adapters, configs, logs, frozen outputs, hashes, and a portable reproduction flow.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60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Spend item</w:t>
            </w:r>
          </w:p>
        </w:tc>
        <w:tc>
          <w:tcPr>
            <w:tcW w:type="dxa" w:w="1728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4176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Teacher pilot / selection</w:t>
            </w:r>
          </w:p>
        </w:tc>
        <w:tc>
          <w:tcPr>
            <w:tcW w:type="dxa" w:w="17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≈$0.16</w:t>
            </w:r>
          </w:p>
        </w:tc>
        <w:tc>
          <w:tcPr>
            <w:tcW w:type="dxa" w:w="417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Selection records</w:t>
            </w:r>
          </w:p>
        </w:tc>
      </w:tr>
      <w:tr>
        <w:tc>
          <w:tcPr>
            <w:tcW w:type="dxa" w:w="36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Teacher batch labels</w:t>
            </w:r>
          </w:p>
        </w:tc>
        <w:tc>
          <w:tcPr>
            <w:tcW w:type="dxa" w:w="172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$3.635911</w:t>
            </w:r>
          </w:p>
        </w:tc>
        <w:tc>
          <w:tcPr>
            <w:tcW w:type="dxa" w:w="417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annotation_summary.json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RunPod total</w:t>
            </w:r>
          </w:p>
        </w:tc>
        <w:tc>
          <w:tcPr>
            <w:tcW w:type="dxa" w:w="172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$4.00</w:t>
            </w:r>
          </w:p>
        </w:tc>
        <w:tc>
          <w:tcPr>
            <w:tcW w:type="dxa" w:w="4176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Owner-confirmed total bill</w:t>
            </w:r>
          </w:p>
        </w:tc>
      </w:tr>
      <w:tr>
        <w:tc>
          <w:tcPr>
            <w:tcW w:type="dxa" w:w="360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Total</w:t>
            </w:r>
          </w:p>
        </w:tc>
        <w:tc>
          <w:tcPr>
            <w:tcW w:type="dxa" w:w="1728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≈$7.80</w:t>
            </w:r>
          </w:p>
        </w:tc>
        <w:tc>
          <w:tcPr>
            <w:tcW w:type="dxa" w:w="4176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Experiment + benchmarking</w:t>
            </w:r>
          </w:p>
        </w:tc>
      </w:tr>
    </w:tbl>
    <w:p>
      <w:pPr>
        <w:pStyle w:val="Heading2"/>
      </w:pPr>
      <w:r>
        <w:t>Release contents</w:t>
      </w:r>
    </w:p>
    <w:p>
      <w:pPr>
        <w:ind w:left="259" w:hanging="187"/>
      </w:pPr>
      <w:r>
        <w:t xml:space="preserve">•  </w:t>
      </w:r>
      <w:r>
        <w:t>SFT and GRPO adapters with hashes and resolved configs.</w:t>
      </w:r>
    </w:p>
    <w:p>
      <w:pPr>
        <w:ind w:left="259" w:hanging="187"/>
      </w:pPr>
      <w:r>
        <w:t xml:space="preserve">•  </w:t>
      </w:r>
      <w:r>
        <w:t>Frozen base, SFT, GRPO, comparator, and serving summaries.</w:t>
      </w:r>
    </w:p>
    <w:p>
      <w:pPr>
        <w:ind w:left="259" w:hanging="187"/>
      </w:pPr>
      <w:r>
        <w:t xml:space="preserve">•  </w:t>
      </w:r>
      <w:r>
        <w:t>Prepared non-golden data and split manifests.</w:t>
      </w:r>
    </w:p>
    <w:p>
      <w:pPr>
        <w:ind w:left="259" w:hanging="187"/>
      </w:pPr>
      <w:r>
        <w:t xml:space="preserve">•  </w:t>
      </w:r>
      <w:r>
        <w:t>HOW_TO_RUN.md and portable reproduction script.</w:t>
      </w:r>
    </w:p>
    <w:p>
      <w:pPr>
        <w:ind w:left="259" w:hanging="187"/>
      </w:pPr>
      <w:r>
        <w:t xml:space="preserve">•  </w:t>
      </w:r>
      <w:r>
        <w:t>Apple MPS verification: all 50 SFT raw outputs matched CUDA exactly.</w:t>
      </w:r>
    </w:p>
    <w:p>
      <w:pPr>
        <w:pStyle w:val="SmallBody"/>
      </w:pPr>
      <w:r>
        <w:rPr>
          <w:b/>
        </w:rPr>
        <w:t xml:space="preserve">Git repository: </w:t>
      </w:r>
      <w:hyperlink r:id="rId12">
        <w:r>
          <w:rPr>
            <w:color w:val="2C6ECB"/>
            <w:u w:val="single"/>
          </w:rPr>
          <w:t>https://github.com/lakshaychhabra/reranking-optimisation</w:t>
        </w:r>
      </w:hyperlink>
    </w:p>
    <w:p>
      <w:pPr>
        <w:pStyle w:val="SmallBody"/>
      </w:pPr>
      <w:r>
        <w:rPr>
          <w:b/>
        </w:rPr>
        <w:t xml:space="preserve">Hugging Face dataset: </w:t>
      </w:r>
      <w:hyperlink r:id="rId13">
        <w:r>
          <w:rPr>
            <w:color w:val="2C6ECB"/>
            <w:u w:val="single"/>
          </w:rPr>
          <w:t>https://huggingface.co/datasets/lakshaychhabra/wg-recommendation-data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F4F6F8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Reproduction rule</w:t>
            </w:r>
          </w:p>
          <w:p>
            <w:pPr>
              <w:spacing w:after="0"/>
            </w:pPr>
            <w:r>
              <w:t>Use development data for routine checks. The golden benchmark remains final-report evidence and must not become an iterative checkpoint-selection loop.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C8E8E"/>
          <w:sz w:val="15"/>
        </w:rPr>
        <w:t>14 / WHAT REMAINS</w:t>
      </w:r>
    </w:p>
    <w:p>
      <w:pPr>
        <w:pStyle w:val="Heading1"/>
      </w:pPr>
      <w:r>
        <w:t>Limits and next experiments</w:t>
      </w:r>
    </w:p>
    <w:p>
      <w:pPr>
        <w:spacing w:before="20" w:after="80"/>
        <w:pBdr>
          <w:bottom w:val="single" w:sz="18" w:space="1" w:color="1C8E8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Bottom line</w:t>
            </w:r>
          </w:p>
          <w:p>
            <w:pPr>
              <w:spacing w:after="0"/>
            </w:pPr>
            <w:r>
              <w:t>The current evidence supports the assignment decision; production confidence requires stronger independent labels, more scenarios, and a capacity study below 2B.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20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338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744"/>
            <w:shd w:fill="183153"/>
            <w:vAlign w:val="center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Next experiment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50-scenario golden set</w:t>
            </w:r>
          </w:p>
        </w:tc>
        <w:tc>
          <w:tcPr>
            <w:tcW w:type="dxa" w:w="338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One case moves Top-1 by 2 pp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Larger untouched expert-labelled benchmark</w:t>
            </w:r>
          </w:p>
        </w:tc>
      </w:tr>
      <w:tr>
        <w:tc>
          <w:tcPr>
            <w:tcW w:type="dxa" w:w="25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Silver supervision</w:t>
            </w:r>
          </w:p>
        </w:tc>
        <w:tc>
          <w:tcPr>
            <w:tcW w:type="dxa" w:w="338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Teacher can reproduce its own preferences</w:t>
            </w:r>
          </w:p>
        </w:tc>
        <w:tc>
          <w:tcPr>
            <w:tcW w:type="dxa" w:w="37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Expert adjudication on disagreements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Synthetic risks / finite catalogue</w:t>
            </w:r>
          </w:p>
        </w:tc>
        <w:tc>
          <w:tcPr>
            <w:tcW w:type="dxa" w:w="338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May miss operational tail cases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Shadow evaluation on production-like traffic</w:t>
            </w:r>
          </w:p>
        </w:tc>
      </w:tr>
      <w:tr>
        <w:tc>
          <w:tcPr>
            <w:tcW w:type="dxa" w:w="25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Fixed reward formula</w:t>
            </w:r>
          </w:p>
        </w:tc>
        <w:tc>
          <w:tcPr>
            <w:tcW w:type="dxa" w:w="338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Can miss feature interactions</w:t>
            </w:r>
          </w:p>
        </w:tc>
        <w:tc>
          <w:tcPr>
            <w:tcW w:type="dxa" w:w="37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Compare learned reward or preference model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2B is smallest tested</w:t>
            </w:r>
          </w:p>
        </w:tc>
        <w:tc>
          <w:tcPr>
            <w:tcW w:type="dxa" w:w="338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Capacity floor remains unknown</w:t>
            </w:r>
          </w:p>
        </w:tc>
        <w:tc>
          <w:tcPr>
            <w:tcW w:type="dxa" w:w="3744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Repeat SFT at ≤1B</w:t>
            </w:r>
          </w:p>
        </w:tc>
      </w:tr>
      <w:tr>
        <w:tc>
          <w:tcPr>
            <w:tcW w:type="dxa" w:w="2520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GRPO only 10 steps</w:t>
            </w:r>
          </w:p>
        </w:tc>
        <w:tc>
          <w:tcPr>
            <w:tcW w:type="dxa" w:w="338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Longer run may improve remaining errors</w:t>
            </w:r>
          </w:p>
        </w:tc>
        <w:tc>
          <w:tcPr>
            <w:tcW w:type="dxa" w:w="3744"/>
            <w:shd w:fill="F4F6F8"/>
            <w:vAlign w:val="center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Predeclare dev gate; increase steps/samples after better labels</w:t>
            </w:r>
          </w:p>
        </w:tc>
      </w:tr>
    </w:tbl>
    <w:p>
      <w:pPr>
        <w:pStyle w:val="Heading2"/>
      </w:pPr>
      <w:r>
        <w:t>Recommended sequence</w:t>
      </w:r>
    </w:p>
    <w:p>
      <w:pPr>
        <w:ind w:left="259" w:hanging="187"/>
      </w:pPr>
      <w:r>
        <w:t xml:space="preserve">•  </w:t>
      </w:r>
      <w:r>
        <w:t>Deploy or shadow-test the selected SFT adapter with the symbolic scorer as a monitoring baseline.</w:t>
      </w:r>
    </w:p>
    <w:p>
      <w:pPr>
        <w:ind w:left="259" w:hanging="187"/>
      </w:pPr>
      <w:r>
        <w:t xml:space="preserve">•  </w:t>
      </w:r>
      <w:r>
        <w:t>Collect expert labels specifically where SFT, scorer, and teacher disagree.</w:t>
      </w:r>
    </w:p>
    <w:p>
      <w:pPr>
        <w:ind w:left="259" w:hanging="187"/>
      </w:pPr>
      <w:r>
        <w:t xml:space="preserve">•  </w:t>
      </w:r>
      <w:r>
        <w:t>Run the ≤1B capacity ablation under the identical prompt and split contract.</w:t>
      </w:r>
    </w:p>
    <w:p>
      <w:pPr>
        <w:ind w:left="259" w:hanging="187"/>
      </w:pPr>
      <w:r>
        <w:t xml:space="preserve">•  </w:t>
      </w:r>
      <w:r>
        <w:t>Only then extend GRPO with a frozen development rule and a new untouched final benchmark.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82"/>
      </w:tblGrid>
      <w:tr>
        <w:tc>
          <w:tcPr>
            <w:tcW w:type="dxa" w:w="10282"/>
            <w:shd w:fill="EEF4FB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after="40"/>
            </w:pPr>
            <w:r>
              <w:rPr>
                <w:b/>
                <w:color w:val="183153"/>
              </w:rPr>
              <w:t>Final conclusion</w:t>
            </w:r>
          </w:p>
          <w:p>
            <w:pPr>
              <w:spacing w:after="0"/>
            </w:pPr>
            <w:r>
              <w:t>The assignment aim was achieved: a small self-hostable model exceeded 80% Top-1 and matched the observed top-tier result at a fraction of serving cost. The main lesson is not that one optimizer won; it is that disciplined data separation, reward interpretation, and simple SFT captured nearly all demonstrated value, while GRPO remains a credible path once the supervision ceiling is raised.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06" w:left="979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WG Recommendation Model  |  Lakshay Chhabra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Note"/>
      <w:jc w:val="right"/>
    </w:pPr>
    <w:r>
      <w:rPr>
        <w:color w:val="5F6B7A"/>
      </w:rPr>
      <w:t>WG RECOMMENDATION MODEL  /  EXPERIMENT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2" w:lineRule="auto"/>
    </w:pPr>
    <w:rPr>
      <w:rFonts w:ascii="Aptos" w:hAnsi="Aptos"/>
      <w:color w:val="172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8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80"/>
    </w:pPr>
    <w:rPr>
      <w:rFonts w:ascii="Aptos" w:hAnsi="Aptos"/>
      <w:b/>
      <w:bCs/>
      <w:i w:val="0"/>
      <w:color w:val="6674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160"/>
    </w:pPr>
    <w:rPr>
      <w:rFonts w:ascii="Aptos" w:hAnsi="Aptos"/>
      <w:color w:val="667485"/>
      <w:sz w:val="24"/>
    </w:rPr>
  </w:style>
  <w:style w:type="paragraph" w:customStyle="1" w:styleId="SourceNote">
    <w:name w:val="Source Note"/>
    <w:pPr>
      <w:spacing w:before="20" w:after="80"/>
    </w:pPr>
    <w:rPr>
      <w:rFonts w:ascii="Aptos" w:hAnsi="Aptos"/>
      <w:color w:val="667485"/>
      <w:sz w:val="16"/>
    </w:rPr>
  </w:style>
  <w:style w:type="paragraph" w:customStyle="1" w:styleId="SmallBody">
    <w:name w:val="Small Body"/>
    <w:pPr>
      <w:spacing w:after="60" w:line="240" w:lineRule="auto"/>
    </w:pPr>
    <w:rPr>
      <w:rFonts w:ascii="Aptos" w:hAnsi="Aptos"/>
      <w:color w:val="1E293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lakshaychhabra/reranking-optimisation" TargetMode="External"/><Relationship Id="rId13" Type="http://schemas.openxmlformats.org/officeDocument/2006/relationships/hyperlink" Target="https://huggingface.co/datasets/lakshaychhabra/wg-recommendation-data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 Recommendation Model Technical Experiment Report</dc:title>
  <dc:subject>Technical evidence and decisions</dc:subject>
  <dc:creator>Lakshay Chhabra</dc:creator>
  <cp:keywords>Wohngebäude, recommendation, Qwen, LoRA, SFT, GRPO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