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1 TASK REPORT</w:t>
      </w:r>
    </w:p>
    <w:p>
      <w:pPr>
        <w:jc w:val="center"/>
      </w:pPr>
      <w:r>
        <w:rPr>
          <w:b/>
          <w:sz w:val="36"/>
        </w:rPr>
        <w:t>Data Acquisition, Cleaning, and Preprocessing</w:t>
      </w:r>
    </w:p>
    <w:p>
      <w:pPr>
        <w:jc w:val="center"/>
      </w:pPr>
      <w:r>
        <w:rPr>
          <w:sz w:val="26"/>
        </w:rPr>
        <w:br/>
        <w:t>Dataset: Titanic Passenger Dataset</w:t>
        <w:br/>
      </w:r>
      <w:r>
        <w:rPr>
          <w:sz w:val="24"/>
        </w:rPr>
        <w:t>Prepared using Python, Pandas, NumPy and Matplotlib</w:t>
        <w:br/>
      </w:r>
      <w:r>
        <w:rPr>
          <w:sz w:val="22"/>
        </w:rPr>
        <w:t>Dataset file analyzed: Titanic-Dataset-selected-columns.csv</w:t>
      </w:r>
    </w:p>
    <w:p>
      <w:r>
        <w:br/>
      </w:r>
    </w:p>
    <w:p>
      <w:pPr>
        <w:jc w:val="center"/>
      </w:pPr>
      <w:r>
        <w:rPr>
          <w:i/>
        </w:rPr>
        <w:t>Objective: To demonstrate the acquisition, exploration, cleaning and preprocessing of a public dataset, with special attention to missing values, inconsistent entries and outliers.</w:t>
      </w:r>
    </w:p>
    <w:p>
      <w:r>
        <w:br w:type="page"/>
      </w:r>
    </w:p>
    <w:p>
      <w:pPr>
        <w:pStyle w:val="Heading1"/>
      </w:pPr>
      <w:r>
        <w:t>1. Introduction</w:t>
      </w:r>
    </w:p>
    <w:p>
      <w:r>
        <w:t>Data preprocessing is an important stage of a data analytics or machine-learning workflow. Raw datasets may contain missing values, duplicate records, inconsistent text, incorrect data types, or extreme observations. If these issues are ignored, later analysis can produce misleading results. This report documents the complete Week 1 data acquisition, cleaning and preprocessing process performed on a selected-column version of the Titanic passenger dataset.</w:t>
      </w:r>
    </w:p>
    <w:p>
      <w:r>
        <w:t>The supplied CSV contains 891 passenger records and 10 columns. The analysis focuses on understanding the structure of the data, measuring its quality, treating missing Age values, investigating potential outliers, validating numerical ranges, standardizing text fields, and preparing a model-ready version.</w:t>
      </w:r>
    </w:p>
    <w:p>
      <w:pPr>
        <w:pStyle w:val="Heading1"/>
      </w:pPr>
      <w:r>
        <w:t>2. Objectives</w:t>
      </w:r>
    </w:p>
    <w:p>
      <w:pPr>
        <w:pStyle w:val="ListBullet"/>
      </w:pPr>
      <w:r>
        <w:t>Acquire and inspect a publicly available Titanic dataset.</w:t>
      </w:r>
    </w:p>
    <w:p>
      <w:pPr>
        <w:pStyle w:val="ListBullet"/>
      </w:pPr>
      <w:r>
        <w:t>Understand the dataset structure, variables, data types and distributions.</w:t>
      </w:r>
    </w:p>
    <w:p>
      <w:pPr>
        <w:pStyle w:val="ListBullet"/>
      </w:pPr>
      <w:r>
        <w:t>Identify missing values and choose an appropriate imputation strategy.</w:t>
      </w:r>
    </w:p>
    <w:p>
      <w:pPr>
        <w:pStyle w:val="ListBullet"/>
      </w:pPr>
      <w:r>
        <w:t>Check for duplicate, invalid and inconsistent records.</w:t>
      </w:r>
    </w:p>
    <w:p>
      <w:pPr>
        <w:pStyle w:val="ListBullet"/>
      </w:pPr>
      <w:r>
        <w:t>Detect numerical outliers using the Interquartile Range (IQR) method.</w:t>
      </w:r>
    </w:p>
    <w:p>
      <w:pPr>
        <w:pStyle w:val="ListBullet"/>
      </w:pPr>
      <w:r>
        <w:t>Distinguish genuine extreme observations from possible errors instead of deleting values blindly.</w:t>
      </w:r>
    </w:p>
    <w:p>
      <w:pPr>
        <w:pStyle w:val="ListBullet"/>
      </w:pPr>
      <w:r>
        <w:t>Prepare a clean dataset and a model-ready dataset.</w:t>
      </w:r>
    </w:p>
    <w:p>
      <w:pPr>
        <w:pStyle w:val="ListBullet"/>
      </w:pPr>
      <w:r>
        <w:t>Discuss how preprocessing decisions can affect later analysis.</w:t>
      </w:r>
    </w:p>
    <w:p>
      <w:pPr>
        <w:pStyle w:val="Heading1"/>
      </w:pPr>
      <w:r>
        <w:t>3. Dataset and Data Collection Method</w:t>
      </w:r>
    </w:p>
    <w:p>
      <w:r>
        <w:t>The dataset used in this report is the classic Titanic training dataset. The supplied CSV contains the same 891 training passengers used in the Kaggle Titanic competition, but only 10 selected columns are included. Kaggle describes the training data as containing 891 passengers with survival outcomes.</w:t>
      </w:r>
    </w:p>
    <w:p>
      <w:r>
        <w:t>Public source: Kaggle – Titanic: Machine Learning from Disaster</w:t>
      </w:r>
    </w:p>
    <w:p>
      <w:r>
        <w:t>Source: https://www.kaggle.com/competitions/titanic/overview</w:t>
      </w:r>
    </w:p>
    <w:p>
      <w:r>
        <w:t>Data collection method: The dataset was obtained as a CSV file and supplied for analysis. The CSV was imported into Python using Pandas.</w:t>
      </w:r>
    </w:p>
    <w:p>
      <w:pPr>
        <w:pStyle w:val="CodeBlock"/>
        <w:spacing w:before="60" w:after="100"/>
      </w:pPr>
      <w:r>
        <w:t>import pandas as pd</w:t>
        <w:br/>
        <w:br/>
        <w:t>df = pd.read_csv("Titanic-Dataset-selected-columns.csv")</w:t>
        <w:br/>
        <w:t>print(df.shape)</w:t>
        <w:br/>
        <w:t>print(df.head())</w:t>
      </w:r>
    </w:p>
    <w:p>
      <w:r>
        <w:t>The resulting shape is 891 rows × 10 columns. The columns are PassengerId, Survived, Pclass, Name, Sex, Age, SibSp, Parch, Ticket and Fare.</w:t>
      </w:r>
    </w:p>
    <w:p>
      <w:pPr>
        <w:pStyle w:val="Heading1"/>
      </w:pPr>
      <w:r>
        <w:t>4.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tcPr>
          <w:p>
            <w:r>
              <w:t>Tool/Library</w:t>
            </w:r>
          </w:p>
        </w:tc>
        <w:tc>
          <w:tcPr>
            <w:tcW w:type="dxa" w:w="4968"/>
          </w:tcPr>
          <w:p>
            <w:r>
              <w:t>Purpose</w:t>
            </w:r>
          </w:p>
        </w:tc>
      </w:tr>
      <w:tr>
        <w:tc>
          <w:tcPr>
            <w:tcW w:type="dxa" w:w="4968"/>
            <w:vAlign w:val="center"/>
          </w:tcPr>
          <w:p>
            <w:r>
              <w:t>Python</w:t>
            </w:r>
          </w:p>
        </w:tc>
        <w:tc>
          <w:tcPr>
            <w:tcW w:type="dxa" w:w="4968"/>
            <w:vAlign w:val="center"/>
          </w:tcPr>
          <w:p>
            <w:r>
              <w:t>Programming and data-processing environment</w:t>
            </w:r>
          </w:p>
        </w:tc>
      </w:tr>
      <w:tr>
        <w:tc>
          <w:tcPr>
            <w:tcW w:type="dxa" w:w="4968"/>
            <w:vAlign w:val="center"/>
          </w:tcPr>
          <w:p>
            <w:r>
              <w:t>Pandas</w:t>
            </w:r>
          </w:p>
        </w:tc>
        <w:tc>
          <w:tcPr>
            <w:tcW w:type="dxa" w:w="4968"/>
            <w:vAlign w:val="center"/>
          </w:tcPr>
          <w:p>
            <w:r>
              <w:t>Reading, inspecting and transforming tabular data</w:t>
            </w:r>
          </w:p>
        </w:tc>
      </w:tr>
      <w:tr>
        <w:tc>
          <w:tcPr>
            <w:tcW w:type="dxa" w:w="4968"/>
            <w:vAlign w:val="center"/>
          </w:tcPr>
          <w:p>
            <w:r>
              <w:t>NumPy</w:t>
            </w:r>
          </w:p>
        </w:tc>
        <w:tc>
          <w:tcPr>
            <w:tcW w:type="dxa" w:w="4968"/>
            <w:vAlign w:val="center"/>
          </w:tcPr>
          <w:p>
            <w:r>
              <w:t>Numerical calculations and array operations</w:t>
            </w:r>
          </w:p>
        </w:tc>
      </w:tr>
      <w:tr>
        <w:tc>
          <w:tcPr>
            <w:tcW w:type="dxa" w:w="4968"/>
            <w:vAlign w:val="center"/>
          </w:tcPr>
          <w:p>
            <w:r>
              <w:t>Matplotlib</w:t>
            </w:r>
          </w:p>
        </w:tc>
        <w:tc>
          <w:tcPr>
            <w:tcW w:type="dxa" w:w="4968"/>
            <w:vAlign w:val="center"/>
          </w:tcPr>
          <w:p>
            <w:r>
              <w:t>Charts and visual inspection of data quality</w:t>
            </w:r>
          </w:p>
        </w:tc>
      </w:tr>
      <w:tr>
        <w:tc>
          <w:tcPr>
            <w:tcW w:type="dxa" w:w="4968"/>
            <w:vAlign w:val="center"/>
          </w:tcPr>
          <w:p>
            <w:r>
              <w:t>python-docx</w:t>
            </w:r>
          </w:p>
        </w:tc>
        <w:tc>
          <w:tcPr>
            <w:tcW w:type="dxa" w:w="4968"/>
            <w:vAlign w:val="center"/>
          </w:tcPr>
          <w:p>
            <w:r>
              <w:t>Generating the final DOCX report</w:t>
            </w:r>
          </w:p>
        </w:tc>
      </w:tr>
    </w:tbl>
    <w:p>
      <w:r>
        <w:t>Pandas was the main library used for data loading, missing-value handling, duplicate checking and data transformation. NumPy supported numerical operations, while Matplotlib was used to create visual evidence for the report.</w:t>
      </w:r>
    </w:p>
    <w:p>
      <w:pPr>
        <w:pStyle w:val="Heading1"/>
      </w:pPr>
      <w:r>
        <w:t>5. Initial Data Exploration</w:t>
      </w:r>
    </w:p>
    <w:p>
      <w:pPr>
        <w:pStyle w:val="Heading2"/>
      </w:pPr>
      <w:r>
        <w:t>5.1 First Five Records</w:t>
      </w:r>
    </w:p>
    <w:p>
      <w:pPr>
        <w:pStyle w:val="CodeBlock"/>
        <w:spacing w:before="60" w:after="100"/>
      </w:pPr>
      <w:r>
        <w:t>print(df.head())</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PassengerId</w:t>
            </w:r>
          </w:p>
        </w:tc>
        <w:tc>
          <w:tcPr>
            <w:tcW w:type="dxa" w:w="994"/>
          </w:tcPr>
          <w:p>
            <w:r>
              <w:t>Survived</w:t>
            </w:r>
          </w:p>
        </w:tc>
        <w:tc>
          <w:tcPr>
            <w:tcW w:type="dxa" w:w="994"/>
          </w:tcPr>
          <w:p>
            <w:r>
              <w:t>Pclass</w:t>
            </w:r>
          </w:p>
        </w:tc>
        <w:tc>
          <w:tcPr>
            <w:tcW w:type="dxa" w:w="994"/>
          </w:tcPr>
          <w:p>
            <w:r>
              <w:t>Name</w:t>
            </w:r>
          </w:p>
        </w:tc>
        <w:tc>
          <w:tcPr>
            <w:tcW w:type="dxa" w:w="994"/>
          </w:tcPr>
          <w:p>
            <w:r>
              <w:t>Sex</w:t>
            </w:r>
          </w:p>
        </w:tc>
        <w:tc>
          <w:tcPr>
            <w:tcW w:type="dxa" w:w="994"/>
          </w:tcPr>
          <w:p>
            <w:r>
              <w:t>Age</w:t>
            </w:r>
          </w:p>
        </w:tc>
        <w:tc>
          <w:tcPr>
            <w:tcW w:type="dxa" w:w="994"/>
          </w:tcPr>
          <w:p>
            <w:r>
              <w:t>SibSp</w:t>
            </w:r>
          </w:p>
        </w:tc>
        <w:tc>
          <w:tcPr>
            <w:tcW w:type="dxa" w:w="994"/>
          </w:tcPr>
          <w:p>
            <w:r>
              <w:t>Parch</w:t>
            </w:r>
          </w:p>
        </w:tc>
        <w:tc>
          <w:tcPr>
            <w:tcW w:type="dxa" w:w="994"/>
          </w:tcPr>
          <w:p>
            <w:r>
              <w:t>Ticket</w:t>
            </w:r>
          </w:p>
        </w:tc>
        <w:tc>
          <w:tcPr>
            <w:tcW w:type="dxa" w:w="994"/>
          </w:tcPr>
          <w:p>
            <w:r>
              <w:t>Fare</w:t>
            </w:r>
          </w:p>
        </w:tc>
      </w:tr>
      <w:tr>
        <w:tc>
          <w:tcPr>
            <w:tcW w:type="dxa" w:w="994"/>
            <w:vAlign w:val="center"/>
          </w:tcPr>
          <w:p>
            <w:r>
              <w:t>1</w:t>
            </w:r>
          </w:p>
        </w:tc>
        <w:tc>
          <w:tcPr>
            <w:tcW w:type="dxa" w:w="994"/>
            <w:vAlign w:val="center"/>
          </w:tcPr>
          <w:p>
            <w:r>
              <w:t>0</w:t>
            </w:r>
          </w:p>
        </w:tc>
        <w:tc>
          <w:tcPr>
            <w:tcW w:type="dxa" w:w="994"/>
            <w:vAlign w:val="center"/>
          </w:tcPr>
          <w:p>
            <w:r>
              <w:t>3</w:t>
            </w:r>
          </w:p>
        </w:tc>
        <w:tc>
          <w:tcPr>
            <w:tcW w:type="dxa" w:w="994"/>
            <w:vAlign w:val="center"/>
          </w:tcPr>
          <w:p>
            <w:r>
              <w:t>Braund, Mr. Owen Harris</w:t>
            </w:r>
          </w:p>
        </w:tc>
        <w:tc>
          <w:tcPr>
            <w:tcW w:type="dxa" w:w="994"/>
            <w:vAlign w:val="center"/>
          </w:tcPr>
          <w:p>
            <w:r>
              <w:t>male</w:t>
            </w:r>
          </w:p>
        </w:tc>
        <w:tc>
          <w:tcPr>
            <w:tcW w:type="dxa" w:w="994"/>
            <w:vAlign w:val="center"/>
          </w:tcPr>
          <w:p>
            <w:r>
              <w:t>22.0</w:t>
            </w:r>
          </w:p>
        </w:tc>
        <w:tc>
          <w:tcPr>
            <w:tcW w:type="dxa" w:w="994"/>
            <w:vAlign w:val="center"/>
          </w:tcPr>
          <w:p>
            <w:r>
              <w:t>1</w:t>
            </w:r>
          </w:p>
        </w:tc>
        <w:tc>
          <w:tcPr>
            <w:tcW w:type="dxa" w:w="994"/>
            <w:vAlign w:val="center"/>
          </w:tcPr>
          <w:p>
            <w:r>
              <w:t>0</w:t>
            </w:r>
          </w:p>
        </w:tc>
        <w:tc>
          <w:tcPr>
            <w:tcW w:type="dxa" w:w="994"/>
            <w:vAlign w:val="center"/>
          </w:tcPr>
          <w:p>
            <w:r>
              <w:t>A/5 21171</w:t>
            </w:r>
          </w:p>
        </w:tc>
        <w:tc>
          <w:tcPr>
            <w:tcW w:type="dxa" w:w="994"/>
            <w:vAlign w:val="center"/>
          </w:tcPr>
          <w:p>
            <w:r>
              <w:t>7.25</w:t>
            </w:r>
          </w:p>
        </w:tc>
      </w:tr>
      <w:tr>
        <w:tc>
          <w:tcPr>
            <w:tcW w:type="dxa" w:w="994"/>
            <w:vAlign w:val="center"/>
          </w:tcPr>
          <w:p>
            <w:r>
              <w:t>2</w:t>
            </w:r>
          </w:p>
        </w:tc>
        <w:tc>
          <w:tcPr>
            <w:tcW w:type="dxa" w:w="994"/>
            <w:vAlign w:val="center"/>
          </w:tcPr>
          <w:p>
            <w:r>
              <w:t>1</w:t>
            </w:r>
          </w:p>
        </w:tc>
        <w:tc>
          <w:tcPr>
            <w:tcW w:type="dxa" w:w="994"/>
            <w:vAlign w:val="center"/>
          </w:tcPr>
          <w:p>
            <w:r>
              <w:t>1</w:t>
            </w:r>
          </w:p>
        </w:tc>
        <w:tc>
          <w:tcPr>
            <w:tcW w:type="dxa" w:w="994"/>
            <w:vAlign w:val="center"/>
          </w:tcPr>
          <w:p>
            <w:r>
              <w:t>Cumings, Mrs. John Bradley (Florence Briggs Thayer)</w:t>
            </w:r>
          </w:p>
        </w:tc>
        <w:tc>
          <w:tcPr>
            <w:tcW w:type="dxa" w:w="994"/>
            <w:vAlign w:val="center"/>
          </w:tcPr>
          <w:p>
            <w:r>
              <w:t>female</w:t>
            </w:r>
          </w:p>
        </w:tc>
        <w:tc>
          <w:tcPr>
            <w:tcW w:type="dxa" w:w="994"/>
            <w:vAlign w:val="center"/>
          </w:tcPr>
          <w:p>
            <w:r>
              <w:t>38.0</w:t>
            </w:r>
          </w:p>
        </w:tc>
        <w:tc>
          <w:tcPr>
            <w:tcW w:type="dxa" w:w="994"/>
            <w:vAlign w:val="center"/>
          </w:tcPr>
          <w:p>
            <w:r>
              <w:t>1</w:t>
            </w:r>
          </w:p>
        </w:tc>
        <w:tc>
          <w:tcPr>
            <w:tcW w:type="dxa" w:w="994"/>
            <w:vAlign w:val="center"/>
          </w:tcPr>
          <w:p>
            <w:r>
              <w:t>0</w:t>
            </w:r>
          </w:p>
        </w:tc>
        <w:tc>
          <w:tcPr>
            <w:tcW w:type="dxa" w:w="994"/>
            <w:vAlign w:val="center"/>
          </w:tcPr>
          <w:p>
            <w:r>
              <w:t>PC 17599</w:t>
            </w:r>
          </w:p>
        </w:tc>
        <w:tc>
          <w:tcPr>
            <w:tcW w:type="dxa" w:w="994"/>
            <w:vAlign w:val="center"/>
          </w:tcPr>
          <w:p>
            <w:r>
              <w:t>71.2833</w:t>
            </w:r>
          </w:p>
        </w:tc>
      </w:tr>
      <w:tr>
        <w:tc>
          <w:tcPr>
            <w:tcW w:type="dxa" w:w="994"/>
            <w:vAlign w:val="center"/>
          </w:tcPr>
          <w:p>
            <w:r>
              <w:t>3</w:t>
            </w:r>
          </w:p>
        </w:tc>
        <w:tc>
          <w:tcPr>
            <w:tcW w:type="dxa" w:w="994"/>
            <w:vAlign w:val="center"/>
          </w:tcPr>
          <w:p>
            <w:r>
              <w:t>1</w:t>
            </w:r>
          </w:p>
        </w:tc>
        <w:tc>
          <w:tcPr>
            <w:tcW w:type="dxa" w:w="994"/>
            <w:vAlign w:val="center"/>
          </w:tcPr>
          <w:p>
            <w:r>
              <w:t>3</w:t>
            </w:r>
          </w:p>
        </w:tc>
        <w:tc>
          <w:tcPr>
            <w:tcW w:type="dxa" w:w="994"/>
            <w:vAlign w:val="center"/>
          </w:tcPr>
          <w:p>
            <w:r>
              <w:t>Heikkinen, Miss. Laina</w:t>
            </w:r>
          </w:p>
        </w:tc>
        <w:tc>
          <w:tcPr>
            <w:tcW w:type="dxa" w:w="994"/>
            <w:vAlign w:val="center"/>
          </w:tcPr>
          <w:p>
            <w:r>
              <w:t>female</w:t>
            </w:r>
          </w:p>
        </w:tc>
        <w:tc>
          <w:tcPr>
            <w:tcW w:type="dxa" w:w="994"/>
            <w:vAlign w:val="center"/>
          </w:tcPr>
          <w:p>
            <w:r>
              <w:t>26.0</w:t>
            </w:r>
          </w:p>
        </w:tc>
        <w:tc>
          <w:tcPr>
            <w:tcW w:type="dxa" w:w="994"/>
            <w:vAlign w:val="center"/>
          </w:tcPr>
          <w:p>
            <w:r>
              <w:t>0</w:t>
            </w:r>
          </w:p>
        </w:tc>
        <w:tc>
          <w:tcPr>
            <w:tcW w:type="dxa" w:w="994"/>
            <w:vAlign w:val="center"/>
          </w:tcPr>
          <w:p>
            <w:r>
              <w:t>0</w:t>
            </w:r>
          </w:p>
        </w:tc>
        <w:tc>
          <w:tcPr>
            <w:tcW w:type="dxa" w:w="994"/>
            <w:vAlign w:val="center"/>
          </w:tcPr>
          <w:p>
            <w:r>
              <w:t>STON/O2. 3101282</w:t>
            </w:r>
          </w:p>
        </w:tc>
        <w:tc>
          <w:tcPr>
            <w:tcW w:type="dxa" w:w="994"/>
            <w:vAlign w:val="center"/>
          </w:tcPr>
          <w:p>
            <w:r>
              <w:t>7.925</w:t>
            </w:r>
          </w:p>
        </w:tc>
      </w:tr>
      <w:tr>
        <w:tc>
          <w:tcPr>
            <w:tcW w:type="dxa" w:w="994"/>
            <w:vAlign w:val="center"/>
          </w:tcPr>
          <w:p>
            <w:r>
              <w:t>4</w:t>
            </w:r>
          </w:p>
        </w:tc>
        <w:tc>
          <w:tcPr>
            <w:tcW w:type="dxa" w:w="994"/>
            <w:vAlign w:val="center"/>
          </w:tcPr>
          <w:p>
            <w:r>
              <w:t>1</w:t>
            </w:r>
          </w:p>
        </w:tc>
        <w:tc>
          <w:tcPr>
            <w:tcW w:type="dxa" w:w="994"/>
            <w:vAlign w:val="center"/>
          </w:tcPr>
          <w:p>
            <w:r>
              <w:t>1</w:t>
            </w:r>
          </w:p>
        </w:tc>
        <w:tc>
          <w:tcPr>
            <w:tcW w:type="dxa" w:w="994"/>
            <w:vAlign w:val="center"/>
          </w:tcPr>
          <w:p>
            <w:r>
              <w:t>Futrelle, Mrs. Jacques Heath (Lily May Peel)</w:t>
            </w:r>
          </w:p>
        </w:tc>
        <w:tc>
          <w:tcPr>
            <w:tcW w:type="dxa" w:w="994"/>
            <w:vAlign w:val="center"/>
          </w:tcPr>
          <w:p>
            <w:r>
              <w:t>female</w:t>
            </w:r>
          </w:p>
        </w:tc>
        <w:tc>
          <w:tcPr>
            <w:tcW w:type="dxa" w:w="994"/>
            <w:vAlign w:val="center"/>
          </w:tcPr>
          <w:p>
            <w:r>
              <w:t>35.0</w:t>
            </w:r>
          </w:p>
        </w:tc>
        <w:tc>
          <w:tcPr>
            <w:tcW w:type="dxa" w:w="994"/>
            <w:vAlign w:val="center"/>
          </w:tcPr>
          <w:p>
            <w:r>
              <w:t>1</w:t>
            </w:r>
          </w:p>
        </w:tc>
        <w:tc>
          <w:tcPr>
            <w:tcW w:type="dxa" w:w="994"/>
            <w:vAlign w:val="center"/>
          </w:tcPr>
          <w:p>
            <w:r>
              <w:t>0</w:t>
            </w:r>
          </w:p>
        </w:tc>
        <w:tc>
          <w:tcPr>
            <w:tcW w:type="dxa" w:w="994"/>
            <w:vAlign w:val="center"/>
          </w:tcPr>
          <w:p>
            <w:r>
              <w:t>113803</w:t>
            </w:r>
          </w:p>
        </w:tc>
        <w:tc>
          <w:tcPr>
            <w:tcW w:type="dxa" w:w="994"/>
            <w:vAlign w:val="center"/>
          </w:tcPr>
          <w:p>
            <w:r>
              <w:t>53.1</w:t>
            </w:r>
          </w:p>
        </w:tc>
      </w:tr>
      <w:tr>
        <w:tc>
          <w:tcPr>
            <w:tcW w:type="dxa" w:w="994"/>
            <w:vAlign w:val="center"/>
          </w:tcPr>
          <w:p>
            <w:r>
              <w:t>5</w:t>
            </w:r>
          </w:p>
        </w:tc>
        <w:tc>
          <w:tcPr>
            <w:tcW w:type="dxa" w:w="994"/>
            <w:vAlign w:val="center"/>
          </w:tcPr>
          <w:p>
            <w:r>
              <w:t>0</w:t>
            </w:r>
          </w:p>
        </w:tc>
        <w:tc>
          <w:tcPr>
            <w:tcW w:type="dxa" w:w="994"/>
            <w:vAlign w:val="center"/>
          </w:tcPr>
          <w:p>
            <w:r>
              <w:t>3</w:t>
            </w:r>
          </w:p>
        </w:tc>
        <w:tc>
          <w:tcPr>
            <w:tcW w:type="dxa" w:w="994"/>
            <w:vAlign w:val="center"/>
          </w:tcPr>
          <w:p>
            <w:r>
              <w:t>Allen, Mr. William Henry</w:t>
            </w:r>
          </w:p>
        </w:tc>
        <w:tc>
          <w:tcPr>
            <w:tcW w:type="dxa" w:w="994"/>
            <w:vAlign w:val="center"/>
          </w:tcPr>
          <w:p>
            <w:r>
              <w:t>male</w:t>
            </w:r>
          </w:p>
        </w:tc>
        <w:tc>
          <w:tcPr>
            <w:tcW w:type="dxa" w:w="994"/>
            <w:vAlign w:val="center"/>
          </w:tcPr>
          <w:p>
            <w:r>
              <w:t>35.0</w:t>
            </w:r>
          </w:p>
        </w:tc>
        <w:tc>
          <w:tcPr>
            <w:tcW w:type="dxa" w:w="994"/>
            <w:vAlign w:val="center"/>
          </w:tcPr>
          <w:p>
            <w:r>
              <w:t>0</w:t>
            </w:r>
          </w:p>
        </w:tc>
        <w:tc>
          <w:tcPr>
            <w:tcW w:type="dxa" w:w="994"/>
            <w:vAlign w:val="center"/>
          </w:tcPr>
          <w:p>
            <w:r>
              <w:t>0</w:t>
            </w:r>
          </w:p>
        </w:tc>
        <w:tc>
          <w:tcPr>
            <w:tcW w:type="dxa" w:w="994"/>
            <w:vAlign w:val="center"/>
          </w:tcPr>
          <w:p>
            <w:r>
              <w:t>373450</w:t>
            </w:r>
          </w:p>
        </w:tc>
        <w:tc>
          <w:tcPr>
            <w:tcW w:type="dxa" w:w="994"/>
            <w:vAlign w:val="center"/>
          </w:tcPr>
          <w:p>
            <w:r>
              <w:t>8.05</w:t>
            </w:r>
          </w:p>
        </w:tc>
      </w:tr>
    </w:tbl>
    <w:p>
      <w:pPr>
        <w:pStyle w:val="Heading2"/>
      </w:pPr>
      <w:r>
        <w:t>5.2 Dataset Shape</w:t>
      </w:r>
    </w:p>
    <w:p>
      <w:pPr>
        <w:pStyle w:val="CodeBlock"/>
        <w:spacing w:before="60" w:after="100"/>
      </w:pPr>
      <w:r>
        <w:t>print(df.shape)</w:t>
      </w:r>
    </w:p>
    <w:p>
      <w:r>
        <w:t>Output: (891, 10). This means the dataset contains 891 rows and 10 columns.</w:t>
      </w:r>
    </w:p>
    <w:p>
      <w:pPr>
        <w:pStyle w:val="Heading2"/>
      </w:pPr>
      <w:r>
        <w:t>5.3 Data Types and Non-Null Counts</w:t>
      </w:r>
    </w:p>
    <w:p>
      <w:pPr>
        <w:pStyle w:val="CodeBlock"/>
        <w:spacing w:before="60" w:after="100"/>
      </w:pPr>
      <w:r>
        <w:t>print(df.info())</w:t>
      </w:r>
    </w:p>
    <w:p>
      <w:r>
        <w:t>The dataset contains integer, floating-point and object/string columns. Age is the only column with missing values in the supplied file.</w:t>
      </w:r>
    </w:p>
    <w:p>
      <w:pPr>
        <w:pStyle w:val="Heading2"/>
      </w:pPr>
      <w:r>
        <w:t>5.4 Statistical Summary</w:t>
      </w:r>
    </w:p>
    <w:p>
      <w:pPr>
        <w:pStyle w:val="CodeBlock"/>
        <w:spacing w:before="60" w:after="100"/>
      </w:pPr>
      <w:r>
        <w:t>print(df.describe())</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t>Column</w:t>
            </w:r>
          </w:p>
        </w:tc>
        <w:tc>
          <w:tcPr>
            <w:tcW w:type="dxa" w:w="1104"/>
          </w:tcPr>
          <w:p>
            <w:r>
              <w:t>count</w:t>
            </w:r>
          </w:p>
        </w:tc>
        <w:tc>
          <w:tcPr>
            <w:tcW w:type="dxa" w:w="1104"/>
          </w:tcPr>
          <w:p>
            <w:r>
              <w:t>mean</w:t>
            </w:r>
          </w:p>
        </w:tc>
        <w:tc>
          <w:tcPr>
            <w:tcW w:type="dxa" w:w="1104"/>
          </w:tcPr>
          <w:p>
            <w:r>
              <w:t>std</w:t>
            </w:r>
          </w:p>
        </w:tc>
        <w:tc>
          <w:tcPr>
            <w:tcW w:type="dxa" w:w="1104"/>
          </w:tcPr>
          <w:p>
            <w:r>
              <w:t>min</w:t>
            </w:r>
          </w:p>
        </w:tc>
        <w:tc>
          <w:tcPr>
            <w:tcW w:type="dxa" w:w="1104"/>
          </w:tcPr>
          <w:p>
            <w:r>
              <w:t>25%</w:t>
            </w:r>
          </w:p>
        </w:tc>
        <w:tc>
          <w:tcPr>
            <w:tcW w:type="dxa" w:w="1104"/>
          </w:tcPr>
          <w:p>
            <w:r>
              <w:t>50%</w:t>
            </w:r>
          </w:p>
        </w:tc>
        <w:tc>
          <w:tcPr>
            <w:tcW w:type="dxa" w:w="1104"/>
          </w:tcPr>
          <w:p>
            <w:r>
              <w:t>75%</w:t>
            </w:r>
          </w:p>
        </w:tc>
        <w:tc>
          <w:tcPr>
            <w:tcW w:type="dxa" w:w="1104"/>
          </w:tcPr>
          <w:p>
            <w:r>
              <w:t>max</w:t>
            </w:r>
          </w:p>
        </w:tc>
      </w:tr>
      <w:tr>
        <w:tc>
          <w:tcPr>
            <w:tcW w:type="dxa" w:w="1104"/>
            <w:vAlign w:val="center"/>
          </w:tcPr>
          <w:p>
            <w:r>
              <w:t>PassengerId</w:t>
            </w:r>
          </w:p>
        </w:tc>
        <w:tc>
          <w:tcPr>
            <w:tcW w:type="dxa" w:w="1104"/>
            <w:vAlign w:val="center"/>
          </w:tcPr>
          <w:p>
            <w:r>
              <w:t>891.0</w:t>
            </w:r>
          </w:p>
        </w:tc>
        <w:tc>
          <w:tcPr>
            <w:tcW w:type="dxa" w:w="1104"/>
            <w:vAlign w:val="center"/>
          </w:tcPr>
          <w:p>
            <w:r>
              <w:t>446.0</w:t>
            </w:r>
          </w:p>
        </w:tc>
        <w:tc>
          <w:tcPr>
            <w:tcW w:type="dxa" w:w="1104"/>
            <w:vAlign w:val="center"/>
          </w:tcPr>
          <w:p>
            <w:r>
              <w:t>257.35</w:t>
            </w:r>
          </w:p>
        </w:tc>
        <w:tc>
          <w:tcPr>
            <w:tcW w:type="dxa" w:w="1104"/>
            <w:vAlign w:val="center"/>
          </w:tcPr>
          <w:p>
            <w:r>
              <w:t>1.0</w:t>
            </w:r>
          </w:p>
        </w:tc>
        <w:tc>
          <w:tcPr>
            <w:tcW w:type="dxa" w:w="1104"/>
            <w:vAlign w:val="center"/>
          </w:tcPr>
          <w:p>
            <w:r>
              <w:t>223.5</w:t>
            </w:r>
          </w:p>
        </w:tc>
        <w:tc>
          <w:tcPr>
            <w:tcW w:type="dxa" w:w="1104"/>
            <w:vAlign w:val="center"/>
          </w:tcPr>
          <w:p>
            <w:r>
              <w:t>446.0</w:t>
            </w:r>
          </w:p>
        </w:tc>
        <w:tc>
          <w:tcPr>
            <w:tcW w:type="dxa" w:w="1104"/>
            <w:vAlign w:val="center"/>
          </w:tcPr>
          <w:p>
            <w:r>
              <w:t>668.5</w:t>
            </w:r>
          </w:p>
        </w:tc>
        <w:tc>
          <w:tcPr>
            <w:tcW w:type="dxa" w:w="1104"/>
            <w:vAlign w:val="center"/>
          </w:tcPr>
          <w:p>
            <w:r>
              <w:t>891.0</w:t>
            </w:r>
          </w:p>
        </w:tc>
      </w:tr>
      <w:tr>
        <w:tc>
          <w:tcPr>
            <w:tcW w:type="dxa" w:w="1104"/>
            <w:vAlign w:val="center"/>
          </w:tcPr>
          <w:p>
            <w:r>
              <w:t>Survived</w:t>
            </w:r>
          </w:p>
        </w:tc>
        <w:tc>
          <w:tcPr>
            <w:tcW w:type="dxa" w:w="1104"/>
            <w:vAlign w:val="center"/>
          </w:tcPr>
          <w:p>
            <w:r>
              <w:t>891.0</w:t>
            </w:r>
          </w:p>
        </w:tc>
        <w:tc>
          <w:tcPr>
            <w:tcW w:type="dxa" w:w="1104"/>
            <w:vAlign w:val="center"/>
          </w:tcPr>
          <w:p>
            <w:r>
              <w:t>0.38</w:t>
            </w:r>
          </w:p>
        </w:tc>
        <w:tc>
          <w:tcPr>
            <w:tcW w:type="dxa" w:w="1104"/>
            <w:vAlign w:val="center"/>
          </w:tcPr>
          <w:p>
            <w:r>
              <w:t>0.49</w:t>
            </w:r>
          </w:p>
        </w:tc>
        <w:tc>
          <w:tcPr>
            <w:tcW w:type="dxa" w:w="1104"/>
            <w:vAlign w:val="center"/>
          </w:tcPr>
          <w:p>
            <w:r>
              <w:t>0.0</w:t>
            </w:r>
          </w:p>
        </w:tc>
        <w:tc>
          <w:tcPr>
            <w:tcW w:type="dxa" w:w="1104"/>
            <w:vAlign w:val="center"/>
          </w:tcPr>
          <w:p>
            <w:r>
              <w:t>0.0</w:t>
            </w:r>
          </w:p>
        </w:tc>
        <w:tc>
          <w:tcPr>
            <w:tcW w:type="dxa" w:w="1104"/>
            <w:vAlign w:val="center"/>
          </w:tcPr>
          <w:p>
            <w:r>
              <w:t>0.0</w:t>
            </w:r>
          </w:p>
        </w:tc>
        <w:tc>
          <w:tcPr>
            <w:tcW w:type="dxa" w:w="1104"/>
            <w:vAlign w:val="center"/>
          </w:tcPr>
          <w:p>
            <w:r>
              <w:t>1.0</w:t>
            </w:r>
          </w:p>
        </w:tc>
        <w:tc>
          <w:tcPr>
            <w:tcW w:type="dxa" w:w="1104"/>
            <w:vAlign w:val="center"/>
          </w:tcPr>
          <w:p>
            <w:r>
              <w:t>1.0</w:t>
            </w:r>
          </w:p>
        </w:tc>
      </w:tr>
      <w:tr>
        <w:tc>
          <w:tcPr>
            <w:tcW w:type="dxa" w:w="1104"/>
            <w:vAlign w:val="center"/>
          </w:tcPr>
          <w:p>
            <w:r>
              <w:t>Pclass</w:t>
            </w:r>
          </w:p>
        </w:tc>
        <w:tc>
          <w:tcPr>
            <w:tcW w:type="dxa" w:w="1104"/>
            <w:vAlign w:val="center"/>
          </w:tcPr>
          <w:p>
            <w:r>
              <w:t>891.0</w:t>
            </w:r>
          </w:p>
        </w:tc>
        <w:tc>
          <w:tcPr>
            <w:tcW w:type="dxa" w:w="1104"/>
            <w:vAlign w:val="center"/>
          </w:tcPr>
          <w:p>
            <w:r>
              <w:t>2.31</w:t>
            </w:r>
          </w:p>
        </w:tc>
        <w:tc>
          <w:tcPr>
            <w:tcW w:type="dxa" w:w="1104"/>
            <w:vAlign w:val="center"/>
          </w:tcPr>
          <w:p>
            <w:r>
              <w:t>0.84</w:t>
            </w:r>
          </w:p>
        </w:tc>
        <w:tc>
          <w:tcPr>
            <w:tcW w:type="dxa" w:w="1104"/>
            <w:vAlign w:val="center"/>
          </w:tcPr>
          <w:p>
            <w:r>
              <w:t>1.0</w:t>
            </w:r>
          </w:p>
        </w:tc>
        <w:tc>
          <w:tcPr>
            <w:tcW w:type="dxa" w:w="1104"/>
            <w:vAlign w:val="center"/>
          </w:tcPr>
          <w:p>
            <w:r>
              <w:t>2.0</w:t>
            </w:r>
          </w:p>
        </w:tc>
        <w:tc>
          <w:tcPr>
            <w:tcW w:type="dxa" w:w="1104"/>
            <w:vAlign w:val="center"/>
          </w:tcPr>
          <w:p>
            <w:r>
              <w:t>3.0</w:t>
            </w:r>
          </w:p>
        </w:tc>
        <w:tc>
          <w:tcPr>
            <w:tcW w:type="dxa" w:w="1104"/>
            <w:vAlign w:val="center"/>
          </w:tcPr>
          <w:p>
            <w:r>
              <w:t>3.0</w:t>
            </w:r>
          </w:p>
        </w:tc>
        <w:tc>
          <w:tcPr>
            <w:tcW w:type="dxa" w:w="1104"/>
            <w:vAlign w:val="center"/>
          </w:tcPr>
          <w:p>
            <w:r>
              <w:t>3.0</w:t>
            </w:r>
          </w:p>
        </w:tc>
      </w:tr>
      <w:tr>
        <w:tc>
          <w:tcPr>
            <w:tcW w:type="dxa" w:w="1104"/>
            <w:vAlign w:val="center"/>
          </w:tcPr>
          <w:p>
            <w:r>
              <w:t>Age</w:t>
            </w:r>
          </w:p>
        </w:tc>
        <w:tc>
          <w:tcPr>
            <w:tcW w:type="dxa" w:w="1104"/>
            <w:vAlign w:val="center"/>
          </w:tcPr>
          <w:p>
            <w:r>
              <w:t>714.0</w:t>
            </w:r>
          </w:p>
        </w:tc>
        <w:tc>
          <w:tcPr>
            <w:tcW w:type="dxa" w:w="1104"/>
            <w:vAlign w:val="center"/>
          </w:tcPr>
          <w:p>
            <w:r>
              <w:t>29.7</w:t>
            </w:r>
          </w:p>
        </w:tc>
        <w:tc>
          <w:tcPr>
            <w:tcW w:type="dxa" w:w="1104"/>
            <w:vAlign w:val="center"/>
          </w:tcPr>
          <w:p>
            <w:r>
              <w:t>14.53</w:t>
            </w:r>
          </w:p>
        </w:tc>
        <w:tc>
          <w:tcPr>
            <w:tcW w:type="dxa" w:w="1104"/>
            <w:vAlign w:val="center"/>
          </w:tcPr>
          <w:p>
            <w:r>
              <w:t>0.42</w:t>
            </w:r>
          </w:p>
        </w:tc>
        <w:tc>
          <w:tcPr>
            <w:tcW w:type="dxa" w:w="1104"/>
            <w:vAlign w:val="center"/>
          </w:tcPr>
          <w:p>
            <w:r>
              <w:t>20.12</w:t>
            </w:r>
          </w:p>
        </w:tc>
        <w:tc>
          <w:tcPr>
            <w:tcW w:type="dxa" w:w="1104"/>
            <w:vAlign w:val="center"/>
          </w:tcPr>
          <w:p>
            <w:r>
              <w:t>28.0</w:t>
            </w:r>
          </w:p>
        </w:tc>
        <w:tc>
          <w:tcPr>
            <w:tcW w:type="dxa" w:w="1104"/>
            <w:vAlign w:val="center"/>
          </w:tcPr>
          <w:p>
            <w:r>
              <w:t>38.0</w:t>
            </w:r>
          </w:p>
        </w:tc>
        <w:tc>
          <w:tcPr>
            <w:tcW w:type="dxa" w:w="1104"/>
            <w:vAlign w:val="center"/>
          </w:tcPr>
          <w:p>
            <w:r>
              <w:t>80.0</w:t>
            </w:r>
          </w:p>
        </w:tc>
      </w:tr>
      <w:tr>
        <w:tc>
          <w:tcPr>
            <w:tcW w:type="dxa" w:w="1104"/>
            <w:vAlign w:val="center"/>
          </w:tcPr>
          <w:p>
            <w:r>
              <w:t>SibSp</w:t>
            </w:r>
          </w:p>
        </w:tc>
        <w:tc>
          <w:tcPr>
            <w:tcW w:type="dxa" w:w="1104"/>
            <w:vAlign w:val="center"/>
          </w:tcPr>
          <w:p>
            <w:r>
              <w:t>891.0</w:t>
            </w:r>
          </w:p>
        </w:tc>
        <w:tc>
          <w:tcPr>
            <w:tcW w:type="dxa" w:w="1104"/>
            <w:vAlign w:val="center"/>
          </w:tcPr>
          <w:p>
            <w:r>
              <w:t>0.52</w:t>
            </w:r>
          </w:p>
        </w:tc>
        <w:tc>
          <w:tcPr>
            <w:tcW w:type="dxa" w:w="1104"/>
            <w:vAlign w:val="center"/>
          </w:tcPr>
          <w:p>
            <w:r>
              <w:t>1.1</w:t>
            </w:r>
          </w:p>
        </w:tc>
        <w:tc>
          <w:tcPr>
            <w:tcW w:type="dxa" w:w="1104"/>
            <w:vAlign w:val="center"/>
          </w:tcPr>
          <w:p>
            <w:r>
              <w:t>0.0</w:t>
            </w:r>
          </w:p>
        </w:tc>
        <w:tc>
          <w:tcPr>
            <w:tcW w:type="dxa" w:w="1104"/>
            <w:vAlign w:val="center"/>
          </w:tcPr>
          <w:p>
            <w:r>
              <w:t>0.0</w:t>
            </w:r>
          </w:p>
        </w:tc>
        <w:tc>
          <w:tcPr>
            <w:tcW w:type="dxa" w:w="1104"/>
            <w:vAlign w:val="center"/>
          </w:tcPr>
          <w:p>
            <w:r>
              <w:t>0.0</w:t>
            </w:r>
          </w:p>
        </w:tc>
        <w:tc>
          <w:tcPr>
            <w:tcW w:type="dxa" w:w="1104"/>
            <w:vAlign w:val="center"/>
          </w:tcPr>
          <w:p>
            <w:r>
              <w:t>1.0</w:t>
            </w:r>
          </w:p>
        </w:tc>
        <w:tc>
          <w:tcPr>
            <w:tcW w:type="dxa" w:w="1104"/>
            <w:vAlign w:val="center"/>
          </w:tcPr>
          <w:p>
            <w:r>
              <w:t>8.0</w:t>
            </w:r>
          </w:p>
        </w:tc>
      </w:tr>
      <w:tr>
        <w:tc>
          <w:tcPr>
            <w:tcW w:type="dxa" w:w="1104"/>
            <w:vAlign w:val="center"/>
          </w:tcPr>
          <w:p>
            <w:r>
              <w:t>Parch</w:t>
            </w:r>
          </w:p>
        </w:tc>
        <w:tc>
          <w:tcPr>
            <w:tcW w:type="dxa" w:w="1104"/>
            <w:vAlign w:val="center"/>
          </w:tcPr>
          <w:p>
            <w:r>
              <w:t>891.0</w:t>
            </w:r>
          </w:p>
        </w:tc>
        <w:tc>
          <w:tcPr>
            <w:tcW w:type="dxa" w:w="1104"/>
            <w:vAlign w:val="center"/>
          </w:tcPr>
          <w:p>
            <w:r>
              <w:t>0.38</w:t>
            </w:r>
          </w:p>
        </w:tc>
        <w:tc>
          <w:tcPr>
            <w:tcW w:type="dxa" w:w="1104"/>
            <w:vAlign w:val="center"/>
          </w:tcPr>
          <w:p>
            <w:r>
              <w:t>0.81</w:t>
            </w:r>
          </w:p>
        </w:tc>
        <w:tc>
          <w:tcPr>
            <w:tcW w:type="dxa" w:w="1104"/>
            <w:vAlign w:val="center"/>
          </w:tcPr>
          <w:p>
            <w:r>
              <w:t>0.0</w:t>
            </w:r>
          </w:p>
        </w:tc>
        <w:tc>
          <w:tcPr>
            <w:tcW w:type="dxa" w:w="1104"/>
            <w:vAlign w:val="center"/>
          </w:tcPr>
          <w:p>
            <w:r>
              <w:t>0.0</w:t>
            </w:r>
          </w:p>
        </w:tc>
        <w:tc>
          <w:tcPr>
            <w:tcW w:type="dxa" w:w="1104"/>
            <w:vAlign w:val="center"/>
          </w:tcPr>
          <w:p>
            <w:r>
              <w:t>0.0</w:t>
            </w:r>
          </w:p>
        </w:tc>
        <w:tc>
          <w:tcPr>
            <w:tcW w:type="dxa" w:w="1104"/>
            <w:vAlign w:val="center"/>
          </w:tcPr>
          <w:p>
            <w:r>
              <w:t>0.0</w:t>
            </w:r>
          </w:p>
        </w:tc>
        <w:tc>
          <w:tcPr>
            <w:tcW w:type="dxa" w:w="1104"/>
            <w:vAlign w:val="center"/>
          </w:tcPr>
          <w:p>
            <w:r>
              <w:t>6.0</w:t>
            </w:r>
          </w:p>
        </w:tc>
      </w:tr>
      <w:tr>
        <w:tc>
          <w:tcPr>
            <w:tcW w:type="dxa" w:w="1104"/>
            <w:vAlign w:val="center"/>
          </w:tcPr>
          <w:p>
            <w:r>
              <w:t>Fare</w:t>
            </w:r>
          </w:p>
        </w:tc>
        <w:tc>
          <w:tcPr>
            <w:tcW w:type="dxa" w:w="1104"/>
            <w:vAlign w:val="center"/>
          </w:tcPr>
          <w:p>
            <w:r>
              <w:t>891.0</w:t>
            </w:r>
          </w:p>
        </w:tc>
        <w:tc>
          <w:tcPr>
            <w:tcW w:type="dxa" w:w="1104"/>
            <w:vAlign w:val="center"/>
          </w:tcPr>
          <w:p>
            <w:r>
              <w:t>32.2</w:t>
            </w:r>
          </w:p>
        </w:tc>
        <w:tc>
          <w:tcPr>
            <w:tcW w:type="dxa" w:w="1104"/>
            <w:vAlign w:val="center"/>
          </w:tcPr>
          <w:p>
            <w:r>
              <w:t>49.69</w:t>
            </w:r>
          </w:p>
        </w:tc>
        <w:tc>
          <w:tcPr>
            <w:tcW w:type="dxa" w:w="1104"/>
            <w:vAlign w:val="center"/>
          </w:tcPr>
          <w:p>
            <w:r>
              <w:t>0.0</w:t>
            </w:r>
          </w:p>
        </w:tc>
        <w:tc>
          <w:tcPr>
            <w:tcW w:type="dxa" w:w="1104"/>
            <w:vAlign w:val="center"/>
          </w:tcPr>
          <w:p>
            <w:r>
              <w:t>7.91</w:t>
            </w:r>
          </w:p>
        </w:tc>
        <w:tc>
          <w:tcPr>
            <w:tcW w:type="dxa" w:w="1104"/>
            <w:vAlign w:val="center"/>
          </w:tcPr>
          <w:p>
            <w:r>
              <w:t>14.45</w:t>
            </w:r>
          </w:p>
        </w:tc>
        <w:tc>
          <w:tcPr>
            <w:tcW w:type="dxa" w:w="1104"/>
            <w:vAlign w:val="center"/>
          </w:tcPr>
          <w:p>
            <w:r>
              <w:t>31.0</w:t>
            </w:r>
          </w:p>
        </w:tc>
        <w:tc>
          <w:tcPr>
            <w:tcW w:type="dxa" w:w="1104"/>
            <w:vAlign w:val="center"/>
          </w:tcPr>
          <w:p>
            <w:r>
              <w:t>512.33</w:t>
            </w:r>
          </w:p>
        </w:tc>
      </w:tr>
    </w:tbl>
    <w:p>
      <w:pPr>
        <w:pStyle w:val="Heading2"/>
      </w:pPr>
      <w:r>
        <w:t>5.5 Initial Data Quality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Column</w:t>
            </w:r>
          </w:p>
        </w:tc>
        <w:tc>
          <w:tcPr>
            <w:tcW w:type="dxa" w:w="2484"/>
          </w:tcPr>
          <w:p>
            <w:r>
              <w:t>Data Type</w:t>
            </w:r>
          </w:p>
        </w:tc>
        <w:tc>
          <w:tcPr>
            <w:tcW w:type="dxa" w:w="2484"/>
          </w:tcPr>
          <w:p>
            <w:r>
              <w:t>Missing</w:t>
            </w:r>
          </w:p>
        </w:tc>
        <w:tc>
          <w:tcPr>
            <w:tcW w:type="dxa" w:w="2484"/>
          </w:tcPr>
          <w:p>
            <w:r>
              <w:t>Unique Values</w:t>
            </w:r>
          </w:p>
        </w:tc>
      </w:tr>
      <w:tr>
        <w:tc>
          <w:tcPr>
            <w:tcW w:type="dxa" w:w="2484"/>
            <w:vAlign w:val="center"/>
          </w:tcPr>
          <w:p>
            <w:r>
              <w:t>PassengerId</w:t>
            </w:r>
          </w:p>
        </w:tc>
        <w:tc>
          <w:tcPr>
            <w:tcW w:type="dxa" w:w="2484"/>
            <w:vAlign w:val="center"/>
          </w:tcPr>
          <w:p>
            <w:r>
              <w:t>int64</w:t>
            </w:r>
          </w:p>
        </w:tc>
        <w:tc>
          <w:tcPr>
            <w:tcW w:type="dxa" w:w="2484"/>
            <w:vAlign w:val="center"/>
          </w:tcPr>
          <w:p>
            <w:r>
              <w:t>0</w:t>
            </w:r>
          </w:p>
        </w:tc>
        <w:tc>
          <w:tcPr>
            <w:tcW w:type="dxa" w:w="2484"/>
            <w:vAlign w:val="center"/>
          </w:tcPr>
          <w:p>
            <w:r>
              <w:t>891</w:t>
            </w:r>
          </w:p>
        </w:tc>
      </w:tr>
      <w:tr>
        <w:tc>
          <w:tcPr>
            <w:tcW w:type="dxa" w:w="2484"/>
            <w:vAlign w:val="center"/>
          </w:tcPr>
          <w:p>
            <w:r>
              <w:t>Survived</w:t>
            </w:r>
          </w:p>
        </w:tc>
        <w:tc>
          <w:tcPr>
            <w:tcW w:type="dxa" w:w="2484"/>
            <w:vAlign w:val="center"/>
          </w:tcPr>
          <w:p>
            <w:r>
              <w:t>int64</w:t>
            </w:r>
          </w:p>
        </w:tc>
        <w:tc>
          <w:tcPr>
            <w:tcW w:type="dxa" w:w="2484"/>
            <w:vAlign w:val="center"/>
          </w:tcPr>
          <w:p>
            <w:r>
              <w:t>0</w:t>
            </w:r>
          </w:p>
        </w:tc>
        <w:tc>
          <w:tcPr>
            <w:tcW w:type="dxa" w:w="2484"/>
            <w:vAlign w:val="center"/>
          </w:tcPr>
          <w:p>
            <w:r>
              <w:t>2</w:t>
            </w:r>
          </w:p>
        </w:tc>
      </w:tr>
      <w:tr>
        <w:tc>
          <w:tcPr>
            <w:tcW w:type="dxa" w:w="2484"/>
            <w:vAlign w:val="center"/>
          </w:tcPr>
          <w:p>
            <w:r>
              <w:t>Pclass</w:t>
            </w:r>
          </w:p>
        </w:tc>
        <w:tc>
          <w:tcPr>
            <w:tcW w:type="dxa" w:w="2484"/>
            <w:vAlign w:val="center"/>
          </w:tcPr>
          <w:p>
            <w:r>
              <w:t>int64</w:t>
            </w:r>
          </w:p>
        </w:tc>
        <w:tc>
          <w:tcPr>
            <w:tcW w:type="dxa" w:w="2484"/>
            <w:vAlign w:val="center"/>
          </w:tcPr>
          <w:p>
            <w:r>
              <w:t>0</w:t>
            </w:r>
          </w:p>
        </w:tc>
        <w:tc>
          <w:tcPr>
            <w:tcW w:type="dxa" w:w="2484"/>
            <w:vAlign w:val="center"/>
          </w:tcPr>
          <w:p>
            <w:r>
              <w:t>3</w:t>
            </w:r>
          </w:p>
        </w:tc>
      </w:tr>
      <w:tr>
        <w:tc>
          <w:tcPr>
            <w:tcW w:type="dxa" w:w="2484"/>
            <w:vAlign w:val="center"/>
          </w:tcPr>
          <w:p>
            <w:r>
              <w:t>Name</w:t>
            </w:r>
          </w:p>
        </w:tc>
        <w:tc>
          <w:tcPr>
            <w:tcW w:type="dxa" w:w="2484"/>
            <w:vAlign w:val="center"/>
          </w:tcPr>
          <w:p>
            <w:r>
              <w:t>object</w:t>
            </w:r>
          </w:p>
        </w:tc>
        <w:tc>
          <w:tcPr>
            <w:tcW w:type="dxa" w:w="2484"/>
            <w:vAlign w:val="center"/>
          </w:tcPr>
          <w:p>
            <w:r>
              <w:t>0</w:t>
            </w:r>
          </w:p>
        </w:tc>
        <w:tc>
          <w:tcPr>
            <w:tcW w:type="dxa" w:w="2484"/>
            <w:vAlign w:val="center"/>
          </w:tcPr>
          <w:p>
            <w:r>
              <w:t>891</w:t>
            </w:r>
          </w:p>
        </w:tc>
      </w:tr>
      <w:tr>
        <w:tc>
          <w:tcPr>
            <w:tcW w:type="dxa" w:w="2484"/>
            <w:vAlign w:val="center"/>
          </w:tcPr>
          <w:p>
            <w:r>
              <w:t>Sex</w:t>
            </w:r>
          </w:p>
        </w:tc>
        <w:tc>
          <w:tcPr>
            <w:tcW w:type="dxa" w:w="2484"/>
            <w:vAlign w:val="center"/>
          </w:tcPr>
          <w:p>
            <w:r>
              <w:t>object</w:t>
            </w:r>
          </w:p>
        </w:tc>
        <w:tc>
          <w:tcPr>
            <w:tcW w:type="dxa" w:w="2484"/>
            <w:vAlign w:val="center"/>
          </w:tcPr>
          <w:p>
            <w:r>
              <w:t>0</w:t>
            </w:r>
          </w:p>
        </w:tc>
        <w:tc>
          <w:tcPr>
            <w:tcW w:type="dxa" w:w="2484"/>
            <w:vAlign w:val="center"/>
          </w:tcPr>
          <w:p>
            <w:r>
              <w:t>2</w:t>
            </w:r>
          </w:p>
        </w:tc>
      </w:tr>
      <w:tr>
        <w:tc>
          <w:tcPr>
            <w:tcW w:type="dxa" w:w="2484"/>
            <w:vAlign w:val="center"/>
          </w:tcPr>
          <w:p>
            <w:r>
              <w:t>Age</w:t>
            </w:r>
          </w:p>
        </w:tc>
        <w:tc>
          <w:tcPr>
            <w:tcW w:type="dxa" w:w="2484"/>
            <w:vAlign w:val="center"/>
          </w:tcPr>
          <w:p>
            <w:r>
              <w:t>float64</w:t>
            </w:r>
          </w:p>
        </w:tc>
        <w:tc>
          <w:tcPr>
            <w:tcW w:type="dxa" w:w="2484"/>
            <w:vAlign w:val="center"/>
          </w:tcPr>
          <w:p>
            <w:r>
              <w:t>177</w:t>
            </w:r>
          </w:p>
        </w:tc>
        <w:tc>
          <w:tcPr>
            <w:tcW w:type="dxa" w:w="2484"/>
            <w:vAlign w:val="center"/>
          </w:tcPr>
          <w:p>
            <w:r>
              <w:t>88</w:t>
            </w:r>
          </w:p>
        </w:tc>
      </w:tr>
      <w:tr>
        <w:tc>
          <w:tcPr>
            <w:tcW w:type="dxa" w:w="2484"/>
            <w:vAlign w:val="center"/>
          </w:tcPr>
          <w:p>
            <w:r>
              <w:t>SibSp</w:t>
            </w:r>
          </w:p>
        </w:tc>
        <w:tc>
          <w:tcPr>
            <w:tcW w:type="dxa" w:w="2484"/>
            <w:vAlign w:val="center"/>
          </w:tcPr>
          <w:p>
            <w:r>
              <w:t>int64</w:t>
            </w:r>
          </w:p>
        </w:tc>
        <w:tc>
          <w:tcPr>
            <w:tcW w:type="dxa" w:w="2484"/>
            <w:vAlign w:val="center"/>
          </w:tcPr>
          <w:p>
            <w:r>
              <w:t>0</w:t>
            </w:r>
          </w:p>
        </w:tc>
        <w:tc>
          <w:tcPr>
            <w:tcW w:type="dxa" w:w="2484"/>
            <w:vAlign w:val="center"/>
          </w:tcPr>
          <w:p>
            <w:r>
              <w:t>7</w:t>
            </w:r>
          </w:p>
        </w:tc>
      </w:tr>
      <w:tr>
        <w:tc>
          <w:tcPr>
            <w:tcW w:type="dxa" w:w="2484"/>
            <w:vAlign w:val="center"/>
          </w:tcPr>
          <w:p>
            <w:r>
              <w:t>Parch</w:t>
            </w:r>
          </w:p>
        </w:tc>
        <w:tc>
          <w:tcPr>
            <w:tcW w:type="dxa" w:w="2484"/>
            <w:vAlign w:val="center"/>
          </w:tcPr>
          <w:p>
            <w:r>
              <w:t>int64</w:t>
            </w:r>
          </w:p>
        </w:tc>
        <w:tc>
          <w:tcPr>
            <w:tcW w:type="dxa" w:w="2484"/>
            <w:vAlign w:val="center"/>
          </w:tcPr>
          <w:p>
            <w:r>
              <w:t>0</w:t>
            </w:r>
          </w:p>
        </w:tc>
        <w:tc>
          <w:tcPr>
            <w:tcW w:type="dxa" w:w="2484"/>
            <w:vAlign w:val="center"/>
          </w:tcPr>
          <w:p>
            <w:r>
              <w:t>7</w:t>
            </w:r>
          </w:p>
        </w:tc>
      </w:tr>
      <w:tr>
        <w:tc>
          <w:tcPr>
            <w:tcW w:type="dxa" w:w="2484"/>
            <w:vAlign w:val="center"/>
          </w:tcPr>
          <w:p>
            <w:r>
              <w:t>Ticket</w:t>
            </w:r>
          </w:p>
        </w:tc>
        <w:tc>
          <w:tcPr>
            <w:tcW w:type="dxa" w:w="2484"/>
            <w:vAlign w:val="center"/>
          </w:tcPr>
          <w:p>
            <w:r>
              <w:t>object</w:t>
            </w:r>
          </w:p>
        </w:tc>
        <w:tc>
          <w:tcPr>
            <w:tcW w:type="dxa" w:w="2484"/>
            <w:vAlign w:val="center"/>
          </w:tcPr>
          <w:p>
            <w:r>
              <w:t>0</w:t>
            </w:r>
          </w:p>
        </w:tc>
        <w:tc>
          <w:tcPr>
            <w:tcW w:type="dxa" w:w="2484"/>
            <w:vAlign w:val="center"/>
          </w:tcPr>
          <w:p>
            <w:r>
              <w:t>681</w:t>
            </w:r>
          </w:p>
        </w:tc>
      </w:tr>
      <w:tr>
        <w:tc>
          <w:tcPr>
            <w:tcW w:type="dxa" w:w="2484"/>
            <w:vAlign w:val="center"/>
          </w:tcPr>
          <w:p>
            <w:r>
              <w:t>Fare</w:t>
            </w:r>
          </w:p>
        </w:tc>
        <w:tc>
          <w:tcPr>
            <w:tcW w:type="dxa" w:w="2484"/>
            <w:vAlign w:val="center"/>
          </w:tcPr>
          <w:p>
            <w:r>
              <w:t>float64</w:t>
            </w:r>
          </w:p>
        </w:tc>
        <w:tc>
          <w:tcPr>
            <w:tcW w:type="dxa" w:w="2484"/>
            <w:vAlign w:val="center"/>
          </w:tcPr>
          <w:p>
            <w:r>
              <w:t>0</w:t>
            </w:r>
          </w:p>
        </w:tc>
        <w:tc>
          <w:tcPr>
            <w:tcW w:type="dxa" w:w="2484"/>
            <w:vAlign w:val="center"/>
          </w:tcPr>
          <w:p>
            <w:r>
              <w:t>248</w:t>
            </w:r>
          </w:p>
        </w:tc>
      </w:tr>
    </w:tbl>
    <w:p>
      <w:pPr>
        <w:pStyle w:val="Heading1"/>
      </w:pPr>
      <w:r>
        <w:t>6. Missing Value Analysis and Treatment</w:t>
      </w:r>
    </w:p>
    <w:p>
      <w:r>
        <w:t>The initial inspection found 177 missing values in Age. This represents 19.87% of the dataset. No other column contains missing values.</w:t>
      </w:r>
    </w:p>
    <w:p>
      <w:pPr>
        <w:pStyle w:val="CodeBlock"/>
        <w:spacing w:before="60" w:after="100"/>
      </w:pPr>
      <w:r>
        <w:t>missing = df.isnull().sum()</w:t>
        <w:br/>
        <w:t>print(missing)</w:t>
      </w:r>
    </w:p>
    <w:p>
      <w:r>
        <w:drawing>
          <wp:inline xmlns:a="http://schemas.openxmlformats.org/drawingml/2006/main" xmlns:pic="http://schemas.openxmlformats.org/drawingml/2006/picture">
            <wp:extent cx="5303520" cy="3000748"/>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303520" cy="3000748"/>
                    </a:xfrm>
                    <a:prstGeom prst="rect"/>
                  </pic:spPr>
                </pic:pic>
              </a:graphicData>
            </a:graphic>
          </wp:inline>
        </w:drawing>
      </w:r>
    </w:p>
    <w:p>
      <w:pPr>
        <w:jc w:val="center"/>
      </w:pPr>
      <w:r>
        <w:rPr>
          <w:i/>
          <w:sz w:val="18"/>
        </w:rPr>
        <w:t>Figure 1. Missing values in the original dataset.</w:t>
      </w:r>
    </w:p>
    <w:p>
      <w:pPr>
        <w:pStyle w:val="Heading2"/>
      </w:pPr>
      <w:r>
        <w:t>6.1 Why Age Was Imputed</w:t>
      </w:r>
    </w:p>
    <w:p>
      <w:r>
        <w:t>Deleting all 177 rows would reduce the dataset and could remove useful passenger information. Age is also an important demographic variable. Therefore, the missing values were imputed rather than dropping the affected records.</w:t>
      </w:r>
    </w:p>
    <w:p>
      <w:r>
        <w:t>A grouped median strategy was selected: the median Age was calculated within each combination of Sex and Pclass. This is more informative than using one overall median because passenger age patterns can differ across passenger classes and sexes. A global median was retained as a fallback.</w:t>
      </w:r>
    </w:p>
    <w:p>
      <w:pPr>
        <w:pStyle w:val="CodeBlock"/>
        <w:spacing w:before="60" w:after="100"/>
      </w:pPr>
      <w:r>
        <w:t>group_medians = df.groupby(["Sex", "Pclass"])["Age"].transform("median")</w:t>
        <w:br/>
        <w:t>df["Age"] = df["Age"].fillna(group_medians)</w:t>
        <w:br/>
        <w:t>df["Age"] = df["Age"].fillna(df["Age"].median())</w:t>
      </w:r>
    </w:p>
    <w:p>
      <w:r>
        <w:t>After imputation, missing Age values reduced from 177 to 0.</w:t>
      </w:r>
    </w:p>
    <w:p>
      <w:r>
        <w:drawing>
          <wp:inline xmlns:a="http://schemas.openxmlformats.org/drawingml/2006/main" xmlns:pic="http://schemas.openxmlformats.org/drawingml/2006/picture">
            <wp:extent cx="5303520" cy="3000748"/>
            <wp:docPr id="2" name="Picture 2"/>
            <wp:cNvGraphicFramePr>
              <a:graphicFrameLocks noChangeAspect="1"/>
            </wp:cNvGraphicFramePr>
            <a:graphic>
              <a:graphicData uri="http://schemas.openxmlformats.org/drawingml/2006/picture">
                <pic:pic>
                  <pic:nvPicPr>
                    <pic:cNvPr id="0" name="03_age_imputation.png"/>
                    <pic:cNvPicPr/>
                  </pic:nvPicPr>
                  <pic:blipFill>
                    <a:blip r:embed="rId10"/>
                    <a:stretch>
                      <a:fillRect/>
                    </a:stretch>
                  </pic:blipFill>
                  <pic:spPr>
                    <a:xfrm>
                      <a:off x="0" y="0"/>
                      <a:ext cx="5303520" cy="3000748"/>
                    </a:xfrm>
                    <a:prstGeom prst="rect"/>
                  </pic:spPr>
                </pic:pic>
              </a:graphicData>
            </a:graphic>
          </wp:inline>
        </w:drawing>
      </w:r>
    </w:p>
    <w:p>
      <w:pPr>
        <w:jc w:val="center"/>
      </w:pPr>
      <w:r>
        <w:rPr>
          <w:i/>
          <w:sz w:val="18"/>
        </w:rPr>
        <w:t>Figure 2. Age distribution before and after imputation.</w:t>
      </w:r>
    </w:p>
    <w:p>
      <w:pPr>
        <w:pStyle w:val="Heading1"/>
      </w:pPr>
      <w:r>
        <w:t>7. Duplicate and Erroneous Entry Checks</w:t>
      </w:r>
    </w:p>
    <w:p>
      <w:pPr>
        <w:pStyle w:val="Heading2"/>
      </w:pPr>
      <w:r>
        <w:t>7.1 Duplicate Rows</w:t>
      </w:r>
    </w:p>
    <w:p>
      <w:pPr>
        <w:pStyle w:val="CodeBlock"/>
        <w:spacing w:before="60" w:after="100"/>
      </w:pPr>
      <w:r>
        <w:t>print(df.duplicated().sum())</w:t>
      </w:r>
    </w:p>
    <w:p>
      <w:r>
        <w:t>The check identified 0 exact duplicate rows. Therefore, no rows had to be removed for duplication.</w:t>
      </w:r>
    </w:p>
    <w:p>
      <w:pPr>
        <w:pStyle w:val="Heading2"/>
      </w:pPr>
      <w:r>
        <w:t>7.2 Numerical Range Validation</w:t>
      </w:r>
    </w:p>
    <w:p>
      <w:pPr>
        <w:pStyle w:val="CodeBlock"/>
        <w:spacing w:before="60" w:after="100"/>
      </w:pPr>
      <w:r>
        <w:t>print((df["Age"] &lt; 0).sum())</w:t>
        <w:br/>
        <w:t>print((df["Fare"] &lt; 0).sum())</w:t>
        <w:br/>
        <w:t>print((df["SibSp"] &lt; 0).sum())</w:t>
        <w:br/>
        <w:t>print((df["Parch"] &lt; 0).sum())</w:t>
      </w:r>
    </w:p>
    <w:p>
      <w:r>
        <w:t>Age values ranged from 0.42 to 80.00, with no negative or impossible age values detected. Fare had no negative values. SibSp and Parch also had no negative values.</w:t>
      </w:r>
    </w:p>
    <w:p>
      <w:r>
        <w:t>The maximum Age of 80 is unusual but plausible. Likewise, higher family counts in SibSp and Parch are possible passenger circumstances and are not automatically data-entry errors. These values were therefore not deleted simply because they were statistically unusual.</w:t>
      </w:r>
    </w:p>
    <w:p>
      <w:pPr>
        <w:pStyle w:val="Heading2"/>
      </w:pPr>
      <w:r>
        <w:t>7.3 Text Consistency</w:t>
      </w:r>
    </w:p>
    <w:p>
      <w:pPr>
        <w:pStyle w:val="CodeBlock"/>
        <w:spacing w:before="60" w:after="100"/>
      </w:pPr>
      <w:r>
        <w:t>df["Sex"] = df["Sex"].astype(str).str.strip().str.lower()</w:t>
        <w:br/>
        <w:t>df["Name"] = df["Name"].astype(str).str.strip()</w:t>
        <w:br/>
        <w:t>df["Ticket"] = df["Ticket"].astype(str).str.strip()</w:t>
      </w:r>
    </w:p>
    <w:p>
      <w:r>
        <w:t>Whitespace was removed and the Sex field was normalized to lowercase. This prevents simple formatting differences from creating multiple categories during later analysis.</w:t>
      </w:r>
    </w:p>
    <w:p>
      <w:pPr>
        <w:pStyle w:val="Heading1"/>
      </w:pPr>
      <w:r>
        <w:t>8. Outlier Detection and Treatment</w:t>
      </w:r>
    </w:p>
    <w:p>
      <w:r>
        <w:t>Outliers were investigated using the Interquartile Range (IQR) method. The IQR is calculated as Q3 − Q1. Values below Q1 − 1.5×IQR or above Q3 + 1.5×IQR are flagged as statistical outliers.</w:t>
      </w:r>
    </w:p>
    <w:p>
      <w:pPr>
        <w:pStyle w:val="CodeBlock"/>
        <w:spacing w:before="60" w:after="100"/>
      </w:pPr>
      <w:r>
        <w:t>Q1 = df["Fare"].quantile(0.25)</w:t>
        <w:br/>
        <w:t>Q3 = df["Fare"].quantile(0.75)</w:t>
        <w:br/>
        <w:t>IQR = Q3 - Q1</w:t>
        <w:br/>
        <w:br/>
        <w:t>lower = Q1 - 1.5 * IQR</w:t>
        <w:br/>
        <w:t>upper = Q3 + 1.5 * IQR</w:t>
        <w:br/>
        <w:br/>
        <w:t>outliers = df[(df["Fare"] &lt; lower) | (df["Fare"] &gt; upper)]</w:t>
        <w:br/>
        <w:t>print(len(outliers))</w:t>
      </w:r>
    </w:p>
    <w:p>
      <w:r>
        <w:t>For Fare, the IQR method identified 116 observations above the upper IQR boundary (the lower boundary was below zero and therefore was not meaningful for a non-negative fare variable).</w:t>
      </w:r>
    </w:p>
    <w:p>
      <w:r>
        <w:drawing>
          <wp:inline xmlns:a="http://schemas.openxmlformats.org/drawingml/2006/main" xmlns:pic="http://schemas.openxmlformats.org/drawingml/2006/picture">
            <wp:extent cx="5303520" cy="3000748"/>
            <wp:docPr id="3" name="Picture 3"/>
            <wp:cNvGraphicFramePr>
              <a:graphicFrameLocks noChangeAspect="1"/>
            </wp:cNvGraphicFramePr>
            <a:graphic>
              <a:graphicData uri="http://schemas.openxmlformats.org/drawingml/2006/picture">
                <pic:pic>
                  <pic:nvPicPr>
                    <pic:cNvPr id="0" name="02_fare_outliers.png"/>
                    <pic:cNvPicPr/>
                  </pic:nvPicPr>
                  <pic:blipFill>
                    <a:blip r:embed="rId11"/>
                    <a:stretch>
                      <a:fillRect/>
                    </a:stretch>
                  </pic:blipFill>
                  <pic:spPr>
                    <a:xfrm>
                      <a:off x="0" y="0"/>
                      <a:ext cx="5303520" cy="3000748"/>
                    </a:xfrm>
                    <a:prstGeom prst="rect"/>
                  </pic:spPr>
                </pic:pic>
              </a:graphicData>
            </a:graphic>
          </wp:inline>
        </w:drawing>
      </w:r>
    </w:p>
    <w:p>
      <w:pPr>
        <w:jc w:val="center"/>
      </w:pPr>
      <w:r>
        <w:rPr>
          <w:i/>
          <w:sz w:val="18"/>
        </w:rPr>
        <w:t>Figure 3. Fare outliers before and after IQR capping.</w:t>
      </w:r>
    </w:p>
    <w:p>
      <w:pPr>
        <w:pStyle w:val="Heading2"/>
      </w:pPr>
      <w:r>
        <w:t>8.1 Outlier Treatment Decision</w:t>
      </w:r>
    </w:p>
    <w:p>
      <w:r>
        <w:t>Instead of deleting the high-fare observations, the Fare values were capped at the IQR upper boundary of approximately 65.63. This preserves the passenger records while reducing the influence of extreme fares in analyses that are sensitive to large numerical values.</w:t>
      </w:r>
    </w:p>
    <w:p>
      <w:pPr>
        <w:pStyle w:val="CodeBlock"/>
        <w:spacing w:before="60" w:after="100"/>
      </w:pPr>
      <w:r>
        <w:t>fare_upper = Q3 + 1.5 * IQR</w:t>
        <w:br/>
        <w:t>df["Fare"] = df["Fare"].clip(lower=0, upper=fare_upper)</w:t>
      </w:r>
    </w:p>
    <w:p>
      <w:r>
        <w:t>Important: IQR flags statistical unusualness, not necessarily an error. For this reason, the high values in SibSp and Parch were reviewed and retained because large family groups can be legitimate.</w:t>
      </w:r>
    </w:p>
    <w:p>
      <w:pPr>
        <w:pStyle w:val="Heading1"/>
      </w:pPr>
      <w:r>
        <w:t>9. Data Preprocessing</w:t>
      </w:r>
    </w:p>
    <w:p>
      <w:pPr>
        <w:pStyle w:val="Heading2"/>
      </w:pPr>
      <w:r>
        <w:t>9.1 Removing Unnecessary Identifiers</w:t>
      </w:r>
    </w:p>
    <w:p>
      <w:r>
        <w:t>PassengerId is a unique identifier. It is useful for tracking records but should generally not be treated as a predictive numerical feature because its magnitude has no meaningful relationship with survival.</w:t>
      </w:r>
    </w:p>
    <w:p>
      <w:r>
        <w:t>Name and Ticket are retained in the cleaned dataset for traceability, although they would normally require feature engineering or exclusion before a simple machine-learning model.</w:t>
      </w:r>
    </w:p>
    <w:p>
      <w:pPr>
        <w:pStyle w:val="Heading2"/>
      </w:pPr>
      <w:r>
        <w:t>9.2 Encoding Categorical Data</w:t>
      </w:r>
    </w:p>
    <w:p>
      <w:pPr>
        <w:pStyle w:val="CodeBlock"/>
        <w:spacing w:before="60" w:after="100"/>
      </w:pPr>
      <w:r>
        <w:t>model_ready["Sex"] = model_ready["Sex"].map({</w:t>
        <w:br/>
        <w:t xml:space="preserve">    "male": 0,</w:t>
        <w:br/>
        <w:t xml:space="preserve">    "female": 1</w:t>
        <w:br/>
        <w:t>}).astype("int64")</w:t>
      </w:r>
    </w:p>
    <w:p>
      <w:r>
        <w:t>The Sex variable was converted into binary numerical form: male = 0 and female = 1. This makes the field usable by algorithms that require numerical input.</w:t>
      </w:r>
    </w:p>
    <w:p>
      <w:pPr>
        <w:pStyle w:val="Heading2"/>
      </w:pPr>
      <w:r>
        <w:t>9.3 Feature Scaling</w:t>
      </w:r>
    </w:p>
    <w:p>
      <w:pPr>
        <w:pStyle w:val="CodeBlock"/>
        <w:spacing w:before="60" w:after="100"/>
      </w:pPr>
      <w:r>
        <w:t>for col in ["Age", "Fare", "SibSp", "Parch"]:</w:t>
        <w:br/>
        <w:t xml:space="preserve">    model_ready[col] = (</w:t>
        <w:br/>
        <w:t xml:space="preserve">        model_ready[col] - model_ready[col].mean()</w:t>
        <w:br/>
        <w:t xml:space="preserve">    ) / model_ready[col].std(ddof=0)</w:t>
      </w:r>
    </w:p>
    <w:p>
      <w:r>
        <w:t>Standardization converts selected numerical features to a common scale with approximately zero mean and unit standard deviation. Scaling can be useful for distance-based or gradient-based algorithms.</w:t>
      </w:r>
    </w:p>
    <w:p>
      <w:pPr>
        <w:pStyle w:val="Heading1"/>
      </w:pPr>
      <w:r>
        <w:t>10. Before vs After Cleaning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Before</w:t>
            </w:r>
          </w:p>
        </w:tc>
        <w:tc>
          <w:tcPr>
            <w:tcW w:type="dxa" w:w="3312"/>
          </w:tcPr>
          <w:p>
            <w:r>
              <w:t>After</w:t>
            </w:r>
          </w:p>
        </w:tc>
      </w:tr>
      <w:tr>
        <w:tc>
          <w:tcPr>
            <w:tcW w:type="dxa" w:w="3312"/>
            <w:vAlign w:val="center"/>
          </w:tcPr>
          <w:p>
            <w:r>
              <w:t>Rows</w:t>
            </w:r>
          </w:p>
        </w:tc>
        <w:tc>
          <w:tcPr>
            <w:tcW w:type="dxa" w:w="3312"/>
            <w:vAlign w:val="center"/>
          </w:tcPr>
          <w:p>
            <w:r>
              <w:t>891</w:t>
            </w:r>
          </w:p>
        </w:tc>
        <w:tc>
          <w:tcPr>
            <w:tcW w:type="dxa" w:w="3312"/>
            <w:vAlign w:val="center"/>
          </w:tcPr>
          <w:p>
            <w:r>
              <w:t>891</w:t>
            </w:r>
          </w:p>
        </w:tc>
      </w:tr>
      <w:tr>
        <w:tc>
          <w:tcPr>
            <w:tcW w:type="dxa" w:w="3312"/>
            <w:vAlign w:val="center"/>
          </w:tcPr>
          <w:p>
            <w:r>
              <w:t>Columns</w:t>
            </w:r>
          </w:p>
        </w:tc>
        <w:tc>
          <w:tcPr>
            <w:tcW w:type="dxa" w:w="3312"/>
            <w:vAlign w:val="center"/>
          </w:tcPr>
          <w:p>
            <w:r>
              <w:t>10</w:t>
            </w:r>
          </w:p>
        </w:tc>
        <w:tc>
          <w:tcPr>
            <w:tcW w:type="dxa" w:w="3312"/>
            <w:vAlign w:val="center"/>
          </w:tcPr>
          <w:p>
            <w:r>
              <w:t>10</w:t>
            </w:r>
          </w:p>
        </w:tc>
      </w:tr>
      <w:tr>
        <w:tc>
          <w:tcPr>
            <w:tcW w:type="dxa" w:w="3312"/>
            <w:vAlign w:val="center"/>
          </w:tcPr>
          <w:p>
            <w:r>
              <w:t>Missing Age</w:t>
            </w:r>
          </w:p>
        </w:tc>
        <w:tc>
          <w:tcPr>
            <w:tcW w:type="dxa" w:w="3312"/>
            <w:vAlign w:val="center"/>
          </w:tcPr>
          <w:p>
            <w:r>
              <w:t>177</w:t>
            </w:r>
          </w:p>
        </w:tc>
        <w:tc>
          <w:tcPr>
            <w:tcW w:type="dxa" w:w="3312"/>
            <w:vAlign w:val="center"/>
          </w:tcPr>
          <w:p>
            <w:r>
              <w:t>0</w:t>
            </w:r>
          </w:p>
        </w:tc>
      </w:tr>
      <w:tr>
        <w:tc>
          <w:tcPr>
            <w:tcW w:type="dxa" w:w="3312"/>
            <w:vAlign w:val="center"/>
          </w:tcPr>
          <w:p>
            <w:r>
              <w:t>Duplicate Rows</w:t>
            </w:r>
          </w:p>
        </w:tc>
        <w:tc>
          <w:tcPr>
            <w:tcW w:type="dxa" w:w="3312"/>
            <w:vAlign w:val="center"/>
          </w:tcPr>
          <w:p>
            <w:r>
              <w:t>0</w:t>
            </w:r>
          </w:p>
        </w:tc>
        <w:tc>
          <w:tcPr>
            <w:tcW w:type="dxa" w:w="3312"/>
            <w:vAlign w:val="center"/>
          </w:tcPr>
          <w:p>
            <w:r>
              <w:t>0</w:t>
            </w:r>
          </w:p>
        </w:tc>
      </w:tr>
      <w:tr>
        <w:tc>
          <w:tcPr>
            <w:tcW w:type="dxa" w:w="3312"/>
            <w:vAlign w:val="center"/>
          </w:tcPr>
          <w:p>
            <w:r>
              <w:t>Fare IQR Outliers</w:t>
            </w:r>
          </w:p>
        </w:tc>
        <w:tc>
          <w:tcPr>
            <w:tcW w:type="dxa" w:w="3312"/>
            <w:vAlign w:val="center"/>
          </w:tcPr>
          <w:p>
            <w:r>
              <w:t>116</w:t>
            </w:r>
          </w:p>
        </w:tc>
        <w:tc>
          <w:tcPr>
            <w:tcW w:type="dxa" w:w="3312"/>
            <w:vAlign w:val="center"/>
          </w:tcPr>
          <w:p>
            <w:r>
              <w:t>0</w:t>
            </w:r>
          </w:p>
        </w:tc>
      </w:tr>
      <w:tr>
        <w:tc>
          <w:tcPr>
            <w:tcW w:type="dxa" w:w="3312"/>
            <w:vAlign w:val="center"/>
          </w:tcPr>
          <w:p>
            <w:r>
              <w:t>Missing Values After Cleaning</w:t>
            </w:r>
          </w:p>
        </w:tc>
        <w:tc>
          <w:tcPr>
            <w:tcW w:type="dxa" w:w="3312"/>
            <w:vAlign w:val="center"/>
          </w:tcPr>
          <w:p>
            <w:r>
              <w:t>177</w:t>
            </w:r>
          </w:p>
        </w:tc>
        <w:tc>
          <w:tcPr>
            <w:tcW w:type="dxa" w:w="3312"/>
            <w:vAlign w:val="center"/>
          </w:tcPr>
          <w:p>
            <w:r>
              <w:t>0</w:t>
            </w:r>
          </w:p>
        </w:tc>
      </w:tr>
    </w:tbl>
    <w:p>
      <w:r>
        <w:t>The main improvement is that the missing Age values were eliminated while retaining all 891 passenger records. Duplicate rows were already absent. Fare extremes were capped rather than deleted. The resulting cleaned dataset is therefore complete for the selected variables and preserves the original passenger population.</w:t>
      </w:r>
    </w:p>
    <w:p>
      <w:pPr>
        <w:pStyle w:val="Heading1"/>
      </w:pPr>
      <w:r>
        <w:t>11. Basic Data Understanding After Cleaning</w:t>
      </w:r>
    </w:p>
    <w:p>
      <w:r>
        <w:drawing>
          <wp:inline xmlns:a="http://schemas.openxmlformats.org/drawingml/2006/main" xmlns:pic="http://schemas.openxmlformats.org/drawingml/2006/picture">
            <wp:extent cx="5303520" cy="3000748"/>
            <wp:docPr id="4" name="Picture 4"/>
            <wp:cNvGraphicFramePr>
              <a:graphicFrameLocks noChangeAspect="1"/>
            </wp:cNvGraphicFramePr>
            <a:graphic>
              <a:graphicData uri="http://schemas.openxmlformats.org/drawingml/2006/picture">
                <pic:pic>
                  <pic:nvPicPr>
                    <pic:cNvPr id="0" name="04_survival_distribution.png"/>
                    <pic:cNvPicPr/>
                  </pic:nvPicPr>
                  <pic:blipFill>
                    <a:blip r:embed="rId12"/>
                    <a:stretch>
                      <a:fillRect/>
                    </a:stretch>
                  </pic:blipFill>
                  <pic:spPr>
                    <a:xfrm>
                      <a:off x="0" y="0"/>
                      <a:ext cx="5303520" cy="3000748"/>
                    </a:xfrm>
                    <a:prstGeom prst="rect"/>
                  </pic:spPr>
                </pic:pic>
              </a:graphicData>
            </a:graphic>
          </wp:inline>
        </w:drawing>
      </w:r>
    </w:p>
    <w:p>
      <w:pPr>
        <w:jc w:val="center"/>
      </w:pPr>
      <w:r>
        <w:rPr>
          <w:i/>
          <w:sz w:val="18"/>
        </w:rPr>
        <w:t>Figure 4. Distribution of the target variable Survived.</w:t>
      </w:r>
    </w:p>
    <w:p>
      <w:r>
        <w:t>The dataset contains 549 passengers who did not survive and 342 passengers who survived. The survival rate is 38.38%.</w:t>
      </w:r>
    </w:p>
    <w:p>
      <w:pPr>
        <w:pStyle w:val="Heading1"/>
      </w:pPr>
      <w:r>
        <w:t>12. Consolidated Python Code</w:t>
      </w:r>
    </w:p>
    <w:p>
      <w:pPr>
        <w:pStyle w:val="CodeBlock"/>
        <w:spacing w:before="60" w:after="100"/>
      </w:pPr>
      <w:r>
        <w:t>import pandas as pd</w:t>
        <w:br/>
        <w:t>import numpy as np</w:t>
        <w:br/>
        <w:br/>
        <w:t># Load data</w:t>
        <w:br/>
        <w:t>df = pd.read_csv("Titanic-Dataset-selected-columns.csv")</w:t>
        <w:br/>
        <w:br/>
        <w:t># Initial exploration</w:t>
        <w:br/>
        <w:t>print(df.head())</w:t>
        <w:br/>
        <w:t>print(df.shape)</w:t>
        <w:br/>
        <w:t>print(df.info())</w:t>
        <w:br/>
        <w:t>print(df.describe())</w:t>
        <w:br/>
        <w:t>print(df.isnull().sum())</w:t>
        <w:br/>
        <w:br/>
        <w:t># Duplicate check</w:t>
        <w:br/>
        <w:t>df = df.drop_duplicates()</w:t>
        <w:br/>
        <w:br/>
        <w:t># Validate values</w:t>
        <w:br/>
        <w:t>print("Invalid age:", ((df["Age"] &lt; 0) | (df["Age"] &gt; 100)).sum())</w:t>
        <w:br/>
        <w:t>print("Invalid fare:", (df["Fare"] &lt; 0).sum())</w:t>
        <w:br/>
        <w:br/>
        <w:t># Impute missing Age using Sex + Pclass median</w:t>
        <w:br/>
        <w:t>group_medians = df.groupby(["Sex", "Pclass"])["Age"].transform("median")</w:t>
        <w:br/>
        <w:t>df["Age"] = df["Age"].fillna(group_medians)</w:t>
        <w:br/>
        <w:t>df["Age"] = df["Age"].fillna(df["Age"].median())</w:t>
        <w:br/>
        <w:br/>
        <w:t># Standardize text</w:t>
        <w:br/>
        <w:t>df["Sex"] = df["Sex"].astype(str).str.strip().str.lower()</w:t>
        <w:br/>
        <w:t>df["Name"] = df["Name"].astype(str).str.strip()</w:t>
        <w:br/>
        <w:t>df["Ticket"] = df["Ticket"].astype(str).str.strip()</w:t>
        <w:br/>
        <w:br/>
        <w:t># IQR outlier treatment for Fare</w:t>
        <w:br/>
        <w:t>Q1 = df["Fare"].quantile(0.25)</w:t>
        <w:br/>
        <w:t>Q3 = df["Fare"].quantile(0.75)</w:t>
        <w:br/>
        <w:t>IQR = Q3 - Q1</w:t>
        <w:br/>
        <w:t>upper = Q3 + 1.5 * IQR</w:t>
        <w:br/>
        <w:t>df["Fare"] = df["Fare"].clip(lower=0, upper=upper)</w:t>
        <w:br/>
        <w:br/>
        <w:t># Save cleaned dataset</w:t>
        <w:br/>
        <w:t>df.to_csv("Titanic_cleaned.csv", index=False)</w:t>
        <w:br/>
        <w:br/>
        <w:t># Model-ready data</w:t>
        <w:br/>
        <w:t>model_ready = df.copy()</w:t>
        <w:br/>
        <w:t>model_ready["Sex"] = model_ready["Sex"].map({"male": 0, "female": 1})</w:t>
        <w:br/>
        <w:br/>
        <w:t>for col in ["Age", "Fare", "SibSp", "Parch"]:</w:t>
        <w:br/>
        <w:t xml:space="preserve">    model_ready[col] = (</w:t>
        <w:br/>
        <w:t xml:space="preserve">        model_ready[col] - model_ready[col].mean()</w:t>
        <w:br/>
        <w:t xml:space="preserve">    ) / model_ready[col].std(ddof=0)</w:t>
        <w:br/>
        <w:br/>
        <w:t>model_ready.to_csv("Titanic_model_ready.csv", index=False)</w:t>
        <w:br/>
      </w:r>
    </w:p>
    <w:p>
      <w:pPr>
        <w:pStyle w:val="Heading1"/>
      </w:pPr>
      <w:r>
        <w:t>13. Challenges Faced and Solutions</w:t>
      </w:r>
    </w:p>
    <w:tbl>
      <w:tblPr>
        <w:tblStyle w:val="TableGrid"/>
        <w:tblW w:type="auto" w:w="0"/>
        <w:jc w:val="center"/>
        <w:tblLook w:firstColumn="1" w:firstRow="1" w:lastColumn="0" w:lastRow="0" w:noHBand="0" w:noVBand="1" w:val="04A0"/>
      </w:tblPr>
      <w:tblGrid>
        <w:gridCol w:w="4968"/>
        <w:gridCol w:w="4968"/>
      </w:tblGrid>
      <w:tr>
        <w:tc>
          <w:tcPr>
            <w:tcW w:type="dxa" w:w="4968"/>
          </w:tcPr>
          <w:p>
            <w:r>
              <w:t>Challenge</w:t>
            </w:r>
          </w:p>
        </w:tc>
        <w:tc>
          <w:tcPr>
            <w:tcW w:type="dxa" w:w="4968"/>
          </w:tcPr>
          <w:p>
            <w:r>
              <w:t>Solution</w:t>
            </w:r>
          </w:p>
        </w:tc>
      </w:tr>
      <w:tr>
        <w:tc>
          <w:tcPr>
            <w:tcW w:type="dxa" w:w="4968"/>
            <w:vAlign w:val="center"/>
          </w:tcPr>
          <w:p>
            <w:r>
              <w:t>Missing Age values</w:t>
            </w:r>
          </w:p>
        </w:tc>
        <w:tc>
          <w:tcPr>
            <w:tcW w:type="dxa" w:w="4968"/>
            <w:vAlign w:val="center"/>
          </w:tcPr>
          <w:p>
            <w:r>
              <w:t>Used median imputation grouped by Sex and Pclass.</w:t>
            </w:r>
          </w:p>
        </w:tc>
      </w:tr>
      <w:tr>
        <w:tc>
          <w:tcPr>
            <w:tcW w:type="dxa" w:w="4968"/>
            <w:vAlign w:val="center"/>
          </w:tcPr>
          <w:p>
            <w:r>
              <w:t>Statistical outliers in Fare</w:t>
            </w:r>
          </w:p>
        </w:tc>
        <w:tc>
          <w:tcPr>
            <w:tcW w:type="dxa" w:w="4968"/>
            <w:vAlign w:val="center"/>
          </w:tcPr>
          <w:p>
            <w:r>
              <w:t>Used IQR analysis and capped extreme Fare values instead of deleting records.</w:t>
            </w:r>
          </w:p>
        </w:tc>
      </w:tr>
      <w:tr>
        <w:tc>
          <w:tcPr>
            <w:tcW w:type="dxa" w:w="4968"/>
            <w:vAlign w:val="center"/>
          </w:tcPr>
          <w:p>
            <w:r>
              <w:t>Unusual but valid family-size values</w:t>
            </w:r>
          </w:p>
        </w:tc>
        <w:tc>
          <w:tcPr>
            <w:tcW w:type="dxa" w:w="4968"/>
            <w:vAlign w:val="center"/>
          </w:tcPr>
          <w:p>
            <w:r>
              <w:t>Reviewed values semantically and retained them because they can represent real families.</w:t>
            </w:r>
          </w:p>
        </w:tc>
      </w:tr>
      <w:tr>
        <w:tc>
          <w:tcPr>
            <w:tcW w:type="dxa" w:w="4968"/>
            <w:vAlign w:val="center"/>
          </w:tcPr>
          <w:p>
            <w:r>
              <w:t>Categorical Sex field</w:t>
            </w:r>
          </w:p>
        </w:tc>
        <w:tc>
          <w:tcPr>
            <w:tcW w:type="dxa" w:w="4968"/>
            <w:vAlign w:val="center"/>
          </w:tcPr>
          <w:p>
            <w:r>
              <w:t>Normalized text and encoded Sex as 0/1 in the model-ready dataset.</w:t>
            </w:r>
          </w:p>
        </w:tc>
      </w:tr>
      <w:tr>
        <w:tc>
          <w:tcPr>
            <w:tcW w:type="dxa" w:w="4968"/>
            <w:vAlign w:val="center"/>
          </w:tcPr>
          <w:p>
            <w:r>
              <w:t>Identifier columns</w:t>
            </w:r>
          </w:p>
        </w:tc>
        <w:tc>
          <w:tcPr>
            <w:tcW w:type="dxa" w:w="4968"/>
            <w:vAlign w:val="center"/>
          </w:tcPr>
          <w:p>
            <w:r>
              <w:t>Kept identifiers for traceability but avoided treating PassengerId as a predictive measurement.</w:t>
            </w:r>
          </w:p>
        </w:tc>
      </w:tr>
    </w:tbl>
    <w:p>
      <w:pPr>
        <w:pStyle w:val="Heading1"/>
      </w:pPr>
      <w:r>
        <w:t>14. Potential Impact of Preprocessing on Subsequent Analysis</w:t>
      </w:r>
    </w:p>
    <w:p>
      <w:pPr>
        <w:pStyle w:val="ListBullet"/>
      </w:pPr>
      <w:r>
        <w:t>Imputing Age prevents the loss of 177 passenger records and allows Age-based analysis to continue.</w:t>
      </w:r>
    </w:p>
    <w:p>
      <w:pPr>
        <w:pStyle w:val="ListBullet"/>
      </w:pPr>
      <w:r>
        <w:t>Median imputation is less sensitive to extreme values than mean imputation, although it can reduce natural variability.</w:t>
      </w:r>
    </w:p>
    <w:p>
      <w:pPr>
        <w:pStyle w:val="ListBullet"/>
      </w:pPr>
      <w:r>
        <w:t>Fare capping reduces the influence of extremely expensive tickets and can make some statistical or machine-learning methods more stable.</w:t>
      </w:r>
    </w:p>
    <w:p>
      <w:pPr>
        <w:pStyle w:val="ListBullet"/>
      </w:pPr>
      <w:r>
        <w:t>Keeping legitimate extreme family-size values avoids introducing artificial information loss.</w:t>
      </w:r>
    </w:p>
    <w:p>
      <w:pPr>
        <w:pStyle w:val="ListBullet"/>
      </w:pPr>
      <w:r>
        <w:t>Encoding Sex allows numerical algorithms to use the variable, but the chosen encoding should be interpreted as a category rather than a continuous quantity.</w:t>
      </w:r>
    </w:p>
    <w:p>
      <w:pPr>
        <w:pStyle w:val="ListBullet"/>
      </w:pPr>
      <w:r>
        <w:t>Feature scaling prevents variables with larger numeric ranges from dominating distance-based methods.</w:t>
      </w:r>
    </w:p>
    <w:p>
      <w:pPr>
        <w:pStyle w:val="ListBullet"/>
      </w:pPr>
      <w:r>
        <w:t>Preprocessing can change distributions, so a researcher should always document the original and transformed versions.</w:t>
      </w:r>
    </w:p>
    <w:p>
      <w:pPr>
        <w:pStyle w:val="Heading1"/>
      </w:pPr>
      <w:r>
        <w:t>15. Reflective Commentary</w:t>
      </w:r>
    </w:p>
    <w:p>
      <w:r>
        <w:t>The most important lesson from this task is that data cleaning is not simply a process of deleting unusual values. Every change should have a reason. For example, the IQR method flags high SibSp and Parch values, but those values can be genuine family relationships. Automatically deleting them would remove valid information. Similarly, missing Age values were imputed rather than removing records because preserving the sample size was useful.</w:t>
      </w:r>
    </w:p>
    <w:p>
      <w:r>
        <w:t>The preprocessing strategy therefore balances statistical rules with domain understanding. The final data is more consistent and complete, but the report keeps a clear record of what was changed so that later analysts can understand the assumptions.</w:t>
      </w:r>
    </w:p>
    <w:p>
      <w:pPr>
        <w:pStyle w:val="Heading1"/>
      </w:pPr>
      <w:r>
        <w:t>16. Conclusion</w:t>
      </w:r>
    </w:p>
    <w:p>
      <w:r>
        <w:t>The Week 1 task was completed using the supplied Titanic passenger dataset. The dataset was inspected using Pandas, and its dimensions, data types, statistical summaries and missing values were documented. The main data quality issue was missing Age data, which was handled using grouped median imputation. Duplicate and invalid-value checks found no duplicate records or negative numerical values. Outliers were examined using the IQR method, and extreme Fare values were capped while legitimate family-size observations were retained. Text fields were standardized, Sex was encoded, and selected numerical features were standardized in a model-ready copy.</w:t>
      </w:r>
    </w:p>
    <w:p>
      <w:r>
        <w:t>The resulting cleaned files are suitable for further exploratory analysis and can also serve as a starting point for machine-learning experiments, provided that future modeling work applies train/test separation and fits preprocessing parameters only on the training data.</w:t>
      </w:r>
    </w:p>
    <w:p>
      <w:pPr>
        <w:pStyle w:val="Heading1"/>
      </w:pPr>
      <w:r>
        <w:t>17. References</w:t>
      </w:r>
    </w:p>
    <w:p>
      <w:r>
        <w:t>1. Kaggle, “Titanic – Machine Learning from Disaster,” Titanic competition dataset.</w:t>
      </w:r>
    </w:p>
    <w:p>
      <w:r>
        <w:t xml:space="preserve">   https://www.kaggle.com/competitions/titanic/overview</w:t>
      </w:r>
    </w:p>
    <w:p>
      <w:r>
        <w:t>2. Pandas documentation – Python Data Analysis Library.</w:t>
      </w:r>
    </w:p>
    <w:p>
      <w:r>
        <w:t xml:space="preserve">   https://pandas.pydata.org/docs/</w:t>
      </w:r>
    </w:p>
    <w:p>
      <w:r>
        <w:t>3. NumPy documentation – Numerical Python.</w:t>
      </w:r>
    </w:p>
    <w:p>
      <w:r>
        <w:t xml:space="preserve">   https://numpy.org/doc/</w:t>
      </w:r>
    </w:p>
    <w:p>
      <w:r>
        <w:t>4. Matplotlib documentation – Visualization with Python.</w:t>
      </w:r>
    </w:p>
    <w:p>
      <w:r>
        <w:t xml:space="preserve">   https://matplotlib.org/stable/</w:t>
      </w:r>
    </w:p>
    <w:p>
      <w:pPr>
        <w:pStyle w:val="Heading1"/>
      </w:pPr>
      <w:r>
        <w:t>18. Appendix: Dataset Snapshot</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PassengerId</w:t>
            </w:r>
          </w:p>
        </w:tc>
        <w:tc>
          <w:tcPr>
            <w:tcW w:type="dxa" w:w="994"/>
          </w:tcPr>
          <w:p>
            <w:r>
              <w:t>Survived</w:t>
            </w:r>
          </w:p>
        </w:tc>
        <w:tc>
          <w:tcPr>
            <w:tcW w:type="dxa" w:w="994"/>
          </w:tcPr>
          <w:p>
            <w:r>
              <w:t>Pclass</w:t>
            </w:r>
          </w:p>
        </w:tc>
        <w:tc>
          <w:tcPr>
            <w:tcW w:type="dxa" w:w="994"/>
          </w:tcPr>
          <w:p>
            <w:r>
              <w:t>Name</w:t>
            </w:r>
          </w:p>
        </w:tc>
        <w:tc>
          <w:tcPr>
            <w:tcW w:type="dxa" w:w="994"/>
          </w:tcPr>
          <w:p>
            <w:r>
              <w:t>Sex</w:t>
            </w:r>
          </w:p>
        </w:tc>
        <w:tc>
          <w:tcPr>
            <w:tcW w:type="dxa" w:w="994"/>
          </w:tcPr>
          <w:p>
            <w:r>
              <w:t>Age</w:t>
            </w:r>
          </w:p>
        </w:tc>
        <w:tc>
          <w:tcPr>
            <w:tcW w:type="dxa" w:w="994"/>
          </w:tcPr>
          <w:p>
            <w:r>
              <w:t>SibSp</w:t>
            </w:r>
          </w:p>
        </w:tc>
        <w:tc>
          <w:tcPr>
            <w:tcW w:type="dxa" w:w="994"/>
          </w:tcPr>
          <w:p>
            <w:r>
              <w:t>Parch</w:t>
            </w:r>
          </w:p>
        </w:tc>
        <w:tc>
          <w:tcPr>
            <w:tcW w:type="dxa" w:w="994"/>
          </w:tcPr>
          <w:p>
            <w:r>
              <w:t>Ticket</w:t>
            </w:r>
          </w:p>
        </w:tc>
        <w:tc>
          <w:tcPr>
            <w:tcW w:type="dxa" w:w="994"/>
          </w:tcPr>
          <w:p>
            <w:r>
              <w:t>Fare</w:t>
            </w:r>
          </w:p>
        </w:tc>
      </w:tr>
      <w:tr>
        <w:tc>
          <w:tcPr>
            <w:tcW w:type="dxa" w:w="994"/>
            <w:vAlign w:val="center"/>
          </w:tcPr>
          <w:p>
            <w:r>
              <w:t>1</w:t>
            </w:r>
          </w:p>
        </w:tc>
        <w:tc>
          <w:tcPr>
            <w:tcW w:type="dxa" w:w="994"/>
            <w:vAlign w:val="center"/>
          </w:tcPr>
          <w:p>
            <w:r>
              <w:t>0</w:t>
            </w:r>
          </w:p>
        </w:tc>
        <w:tc>
          <w:tcPr>
            <w:tcW w:type="dxa" w:w="994"/>
            <w:vAlign w:val="center"/>
          </w:tcPr>
          <w:p>
            <w:r>
              <w:t>3</w:t>
            </w:r>
          </w:p>
        </w:tc>
        <w:tc>
          <w:tcPr>
            <w:tcW w:type="dxa" w:w="994"/>
            <w:vAlign w:val="center"/>
          </w:tcPr>
          <w:p>
            <w:r>
              <w:t>Braund, Mr. Owen Harris</w:t>
            </w:r>
          </w:p>
        </w:tc>
        <w:tc>
          <w:tcPr>
            <w:tcW w:type="dxa" w:w="994"/>
            <w:vAlign w:val="center"/>
          </w:tcPr>
          <w:p>
            <w:r>
              <w:t>male</w:t>
            </w:r>
          </w:p>
        </w:tc>
        <w:tc>
          <w:tcPr>
            <w:tcW w:type="dxa" w:w="994"/>
            <w:vAlign w:val="center"/>
          </w:tcPr>
          <w:p>
            <w:r>
              <w:t>22.0</w:t>
            </w:r>
          </w:p>
        </w:tc>
        <w:tc>
          <w:tcPr>
            <w:tcW w:type="dxa" w:w="994"/>
            <w:vAlign w:val="center"/>
          </w:tcPr>
          <w:p>
            <w:r>
              <w:t>1</w:t>
            </w:r>
          </w:p>
        </w:tc>
        <w:tc>
          <w:tcPr>
            <w:tcW w:type="dxa" w:w="994"/>
            <w:vAlign w:val="center"/>
          </w:tcPr>
          <w:p>
            <w:r>
              <w:t>0</w:t>
            </w:r>
          </w:p>
        </w:tc>
        <w:tc>
          <w:tcPr>
            <w:tcW w:type="dxa" w:w="994"/>
            <w:vAlign w:val="center"/>
          </w:tcPr>
          <w:p>
            <w:r>
              <w:t>A/5 21171</w:t>
            </w:r>
          </w:p>
        </w:tc>
        <w:tc>
          <w:tcPr>
            <w:tcW w:type="dxa" w:w="994"/>
            <w:vAlign w:val="center"/>
          </w:tcPr>
          <w:p>
            <w:r>
              <w:t>7.25</w:t>
            </w:r>
          </w:p>
        </w:tc>
      </w:tr>
      <w:tr>
        <w:tc>
          <w:tcPr>
            <w:tcW w:type="dxa" w:w="994"/>
            <w:vAlign w:val="center"/>
          </w:tcPr>
          <w:p>
            <w:r>
              <w:t>2</w:t>
            </w:r>
          </w:p>
        </w:tc>
        <w:tc>
          <w:tcPr>
            <w:tcW w:type="dxa" w:w="994"/>
            <w:vAlign w:val="center"/>
          </w:tcPr>
          <w:p>
            <w:r>
              <w:t>1</w:t>
            </w:r>
          </w:p>
        </w:tc>
        <w:tc>
          <w:tcPr>
            <w:tcW w:type="dxa" w:w="994"/>
            <w:vAlign w:val="center"/>
          </w:tcPr>
          <w:p>
            <w:r>
              <w:t>1</w:t>
            </w:r>
          </w:p>
        </w:tc>
        <w:tc>
          <w:tcPr>
            <w:tcW w:type="dxa" w:w="994"/>
            <w:vAlign w:val="center"/>
          </w:tcPr>
          <w:p>
            <w:r>
              <w:t>Cumings, Mrs. John Bradley (Florence Briggs Thayer)</w:t>
            </w:r>
          </w:p>
        </w:tc>
        <w:tc>
          <w:tcPr>
            <w:tcW w:type="dxa" w:w="994"/>
            <w:vAlign w:val="center"/>
          </w:tcPr>
          <w:p>
            <w:r>
              <w:t>female</w:t>
            </w:r>
          </w:p>
        </w:tc>
        <w:tc>
          <w:tcPr>
            <w:tcW w:type="dxa" w:w="994"/>
            <w:vAlign w:val="center"/>
          </w:tcPr>
          <w:p>
            <w:r>
              <w:t>38.0</w:t>
            </w:r>
          </w:p>
        </w:tc>
        <w:tc>
          <w:tcPr>
            <w:tcW w:type="dxa" w:w="994"/>
            <w:vAlign w:val="center"/>
          </w:tcPr>
          <w:p>
            <w:r>
              <w:t>1</w:t>
            </w:r>
          </w:p>
        </w:tc>
        <w:tc>
          <w:tcPr>
            <w:tcW w:type="dxa" w:w="994"/>
            <w:vAlign w:val="center"/>
          </w:tcPr>
          <w:p>
            <w:r>
              <w:t>0</w:t>
            </w:r>
          </w:p>
        </w:tc>
        <w:tc>
          <w:tcPr>
            <w:tcW w:type="dxa" w:w="994"/>
            <w:vAlign w:val="center"/>
          </w:tcPr>
          <w:p>
            <w:r>
              <w:t>PC 17599</w:t>
            </w:r>
          </w:p>
        </w:tc>
        <w:tc>
          <w:tcPr>
            <w:tcW w:type="dxa" w:w="994"/>
            <w:vAlign w:val="center"/>
          </w:tcPr>
          <w:p>
            <w:r>
              <w:t>65.6344</w:t>
            </w:r>
          </w:p>
        </w:tc>
      </w:tr>
      <w:tr>
        <w:tc>
          <w:tcPr>
            <w:tcW w:type="dxa" w:w="994"/>
            <w:vAlign w:val="center"/>
          </w:tcPr>
          <w:p>
            <w:r>
              <w:t>3</w:t>
            </w:r>
          </w:p>
        </w:tc>
        <w:tc>
          <w:tcPr>
            <w:tcW w:type="dxa" w:w="994"/>
            <w:vAlign w:val="center"/>
          </w:tcPr>
          <w:p>
            <w:r>
              <w:t>1</w:t>
            </w:r>
          </w:p>
        </w:tc>
        <w:tc>
          <w:tcPr>
            <w:tcW w:type="dxa" w:w="994"/>
            <w:vAlign w:val="center"/>
          </w:tcPr>
          <w:p>
            <w:r>
              <w:t>3</w:t>
            </w:r>
          </w:p>
        </w:tc>
        <w:tc>
          <w:tcPr>
            <w:tcW w:type="dxa" w:w="994"/>
            <w:vAlign w:val="center"/>
          </w:tcPr>
          <w:p>
            <w:r>
              <w:t>Heikkinen, Miss. Laina</w:t>
            </w:r>
          </w:p>
        </w:tc>
        <w:tc>
          <w:tcPr>
            <w:tcW w:type="dxa" w:w="994"/>
            <w:vAlign w:val="center"/>
          </w:tcPr>
          <w:p>
            <w:r>
              <w:t>female</w:t>
            </w:r>
          </w:p>
        </w:tc>
        <w:tc>
          <w:tcPr>
            <w:tcW w:type="dxa" w:w="994"/>
            <w:vAlign w:val="center"/>
          </w:tcPr>
          <w:p>
            <w:r>
              <w:t>26.0</w:t>
            </w:r>
          </w:p>
        </w:tc>
        <w:tc>
          <w:tcPr>
            <w:tcW w:type="dxa" w:w="994"/>
            <w:vAlign w:val="center"/>
          </w:tcPr>
          <w:p>
            <w:r>
              <w:t>0</w:t>
            </w:r>
          </w:p>
        </w:tc>
        <w:tc>
          <w:tcPr>
            <w:tcW w:type="dxa" w:w="994"/>
            <w:vAlign w:val="center"/>
          </w:tcPr>
          <w:p>
            <w:r>
              <w:t>0</w:t>
            </w:r>
          </w:p>
        </w:tc>
        <w:tc>
          <w:tcPr>
            <w:tcW w:type="dxa" w:w="994"/>
            <w:vAlign w:val="center"/>
          </w:tcPr>
          <w:p>
            <w:r>
              <w:t>STON/O2. 3101282</w:t>
            </w:r>
          </w:p>
        </w:tc>
        <w:tc>
          <w:tcPr>
            <w:tcW w:type="dxa" w:w="994"/>
            <w:vAlign w:val="center"/>
          </w:tcPr>
          <w:p>
            <w:r>
              <w:t>7.925</w:t>
            </w:r>
          </w:p>
        </w:tc>
      </w:tr>
      <w:tr>
        <w:tc>
          <w:tcPr>
            <w:tcW w:type="dxa" w:w="994"/>
            <w:vAlign w:val="center"/>
          </w:tcPr>
          <w:p>
            <w:r>
              <w:t>4</w:t>
            </w:r>
          </w:p>
        </w:tc>
        <w:tc>
          <w:tcPr>
            <w:tcW w:type="dxa" w:w="994"/>
            <w:vAlign w:val="center"/>
          </w:tcPr>
          <w:p>
            <w:r>
              <w:t>1</w:t>
            </w:r>
          </w:p>
        </w:tc>
        <w:tc>
          <w:tcPr>
            <w:tcW w:type="dxa" w:w="994"/>
            <w:vAlign w:val="center"/>
          </w:tcPr>
          <w:p>
            <w:r>
              <w:t>1</w:t>
            </w:r>
          </w:p>
        </w:tc>
        <w:tc>
          <w:tcPr>
            <w:tcW w:type="dxa" w:w="994"/>
            <w:vAlign w:val="center"/>
          </w:tcPr>
          <w:p>
            <w:r>
              <w:t>Futrelle, Mrs. Jacques Heath (Lily May Peel)</w:t>
            </w:r>
          </w:p>
        </w:tc>
        <w:tc>
          <w:tcPr>
            <w:tcW w:type="dxa" w:w="994"/>
            <w:vAlign w:val="center"/>
          </w:tcPr>
          <w:p>
            <w:r>
              <w:t>female</w:t>
            </w:r>
          </w:p>
        </w:tc>
        <w:tc>
          <w:tcPr>
            <w:tcW w:type="dxa" w:w="994"/>
            <w:vAlign w:val="center"/>
          </w:tcPr>
          <w:p>
            <w:r>
              <w:t>35.0</w:t>
            </w:r>
          </w:p>
        </w:tc>
        <w:tc>
          <w:tcPr>
            <w:tcW w:type="dxa" w:w="994"/>
            <w:vAlign w:val="center"/>
          </w:tcPr>
          <w:p>
            <w:r>
              <w:t>1</w:t>
            </w:r>
          </w:p>
        </w:tc>
        <w:tc>
          <w:tcPr>
            <w:tcW w:type="dxa" w:w="994"/>
            <w:vAlign w:val="center"/>
          </w:tcPr>
          <w:p>
            <w:r>
              <w:t>0</w:t>
            </w:r>
          </w:p>
        </w:tc>
        <w:tc>
          <w:tcPr>
            <w:tcW w:type="dxa" w:w="994"/>
            <w:vAlign w:val="center"/>
          </w:tcPr>
          <w:p>
            <w:r>
              <w:t>113803</w:t>
            </w:r>
          </w:p>
        </w:tc>
        <w:tc>
          <w:tcPr>
            <w:tcW w:type="dxa" w:w="994"/>
            <w:vAlign w:val="center"/>
          </w:tcPr>
          <w:p>
            <w:r>
              <w:t>53.1</w:t>
            </w:r>
          </w:p>
        </w:tc>
      </w:tr>
      <w:tr>
        <w:tc>
          <w:tcPr>
            <w:tcW w:type="dxa" w:w="994"/>
            <w:vAlign w:val="center"/>
          </w:tcPr>
          <w:p>
            <w:r>
              <w:t>5</w:t>
            </w:r>
          </w:p>
        </w:tc>
        <w:tc>
          <w:tcPr>
            <w:tcW w:type="dxa" w:w="994"/>
            <w:vAlign w:val="center"/>
          </w:tcPr>
          <w:p>
            <w:r>
              <w:t>0</w:t>
            </w:r>
          </w:p>
        </w:tc>
        <w:tc>
          <w:tcPr>
            <w:tcW w:type="dxa" w:w="994"/>
            <w:vAlign w:val="center"/>
          </w:tcPr>
          <w:p>
            <w:r>
              <w:t>3</w:t>
            </w:r>
          </w:p>
        </w:tc>
        <w:tc>
          <w:tcPr>
            <w:tcW w:type="dxa" w:w="994"/>
            <w:vAlign w:val="center"/>
          </w:tcPr>
          <w:p>
            <w:r>
              <w:t>Allen, Mr. William Henry</w:t>
            </w:r>
          </w:p>
        </w:tc>
        <w:tc>
          <w:tcPr>
            <w:tcW w:type="dxa" w:w="994"/>
            <w:vAlign w:val="center"/>
          </w:tcPr>
          <w:p>
            <w:r>
              <w:t>male</w:t>
            </w:r>
          </w:p>
        </w:tc>
        <w:tc>
          <w:tcPr>
            <w:tcW w:type="dxa" w:w="994"/>
            <w:vAlign w:val="center"/>
          </w:tcPr>
          <w:p>
            <w:r>
              <w:t>35.0</w:t>
            </w:r>
          </w:p>
        </w:tc>
        <w:tc>
          <w:tcPr>
            <w:tcW w:type="dxa" w:w="994"/>
            <w:vAlign w:val="center"/>
          </w:tcPr>
          <w:p>
            <w:r>
              <w:t>0</w:t>
            </w:r>
          </w:p>
        </w:tc>
        <w:tc>
          <w:tcPr>
            <w:tcW w:type="dxa" w:w="994"/>
            <w:vAlign w:val="center"/>
          </w:tcPr>
          <w:p>
            <w:r>
              <w:t>0</w:t>
            </w:r>
          </w:p>
        </w:tc>
        <w:tc>
          <w:tcPr>
            <w:tcW w:type="dxa" w:w="994"/>
            <w:vAlign w:val="center"/>
          </w:tcPr>
          <w:p>
            <w:r>
              <w:t>373450</w:t>
            </w:r>
          </w:p>
        </w:tc>
        <w:tc>
          <w:tcPr>
            <w:tcW w:type="dxa" w:w="994"/>
            <w:vAlign w:val="center"/>
          </w:tcPr>
          <w:p>
            <w:r>
              <w:t>8.05</w:t>
            </w:r>
          </w:p>
        </w:tc>
      </w:tr>
      <w:tr>
        <w:tc>
          <w:tcPr>
            <w:tcW w:type="dxa" w:w="994"/>
            <w:vAlign w:val="center"/>
          </w:tcPr>
          <w:p>
            <w:r>
              <w:t>6</w:t>
            </w:r>
          </w:p>
        </w:tc>
        <w:tc>
          <w:tcPr>
            <w:tcW w:type="dxa" w:w="994"/>
            <w:vAlign w:val="center"/>
          </w:tcPr>
          <w:p>
            <w:r>
              <w:t>0</w:t>
            </w:r>
          </w:p>
        </w:tc>
        <w:tc>
          <w:tcPr>
            <w:tcW w:type="dxa" w:w="994"/>
            <w:vAlign w:val="center"/>
          </w:tcPr>
          <w:p>
            <w:r>
              <w:t>3</w:t>
            </w:r>
          </w:p>
        </w:tc>
        <w:tc>
          <w:tcPr>
            <w:tcW w:type="dxa" w:w="994"/>
            <w:vAlign w:val="center"/>
          </w:tcPr>
          <w:p>
            <w:r>
              <w:t>Moran, Mr. James</w:t>
            </w:r>
          </w:p>
        </w:tc>
        <w:tc>
          <w:tcPr>
            <w:tcW w:type="dxa" w:w="994"/>
            <w:vAlign w:val="center"/>
          </w:tcPr>
          <w:p>
            <w:r>
              <w:t>male</w:t>
            </w:r>
          </w:p>
        </w:tc>
        <w:tc>
          <w:tcPr>
            <w:tcW w:type="dxa" w:w="994"/>
            <w:vAlign w:val="center"/>
          </w:tcPr>
          <w:p>
            <w:r>
              <w:t>25.0</w:t>
            </w:r>
          </w:p>
        </w:tc>
        <w:tc>
          <w:tcPr>
            <w:tcW w:type="dxa" w:w="994"/>
            <w:vAlign w:val="center"/>
          </w:tcPr>
          <w:p>
            <w:r>
              <w:t>0</w:t>
            </w:r>
          </w:p>
        </w:tc>
        <w:tc>
          <w:tcPr>
            <w:tcW w:type="dxa" w:w="994"/>
            <w:vAlign w:val="center"/>
          </w:tcPr>
          <w:p>
            <w:r>
              <w:t>0</w:t>
            </w:r>
          </w:p>
        </w:tc>
        <w:tc>
          <w:tcPr>
            <w:tcW w:type="dxa" w:w="994"/>
            <w:vAlign w:val="center"/>
          </w:tcPr>
          <w:p>
            <w:r>
              <w:t>330877</w:t>
            </w:r>
          </w:p>
        </w:tc>
        <w:tc>
          <w:tcPr>
            <w:tcW w:type="dxa" w:w="994"/>
            <w:vAlign w:val="center"/>
          </w:tcPr>
          <w:p>
            <w:r>
              <w:t>8.4583</w:t>
            </w:r>
          </w:p>
        </w:tc>
      </w:tr>
      <w:tr>
        <w:tc>
          <w:tcPr>
            <w:tcW w:type="dxa" w:w="994"/>
            <w:vAlign w:val="center"/>
          </w:tcPr>
          <w:p>
            <w:r>
              <w:t>7</w:t>
            </w:r>
          </w:p>
        </w:tc>
        <w:tc>
          <w:tcPr>
            <w:tcW w:type="dxa" w:w="994"/>
            <w:vAlign w:val="center"/>
          </w:tcPr>
          <w:p>
            <w:r>
              <w:t>0</w:t>
            </w:r>
          </w:p>
        </w:tc>
        <w:tc>
          <w:tcPr>
            <w:tcW w:type="dxa" w:w="994"/>
            <w:vAlign w:val="center"/>
          </w:tcPr>
          <w:p>
            <w:r>
              <w:t>1</w:t>
            </w:r>
          </w:p>
        </w:tc>
        <w:tc>
          <w:tcPr>
            <w:tcW w:type="dxa" w:w="994"/>
            <w:vAlign w:val="center"/>
          </w:tcPr>
          <w:p>
            <w:r>
              <w:t>McCarthy, Mr. Timothy J</w:t>
            </w:r>
          </w:p>
        </w:tc>
        <w:tc>
          <w:tcPr>
            <w:tcW w:type="dxa" w:w="994"/>
            <w:vAlign w:val="center"/>
          </w:tcPr>
          <w:p>
            <w:r>
              <w:t>male</w:t>
            </w:r>
          </w:p>
        </w:tc>
        <w:tc>
          <w:tcPr>
            <w:tcW w:type="dxa" w:w="994"/>
            <w:vAlign w:val="center"/>
          </w:tcPr>
          <w:p>
            <w:r>
              <w:t>54.0</w:t>
            </w:r>
          </w:p>
        </w:tc>
        <w:tc>
          <w:tcPr>
            <w:tcW w:type="dxa" w:w="994"/>
            <w:vAlign w:val="center"/>
          </w:tcPr>
          <w:p>
            <w:r>
              <w:t>0</w:t>
            </w:r>
          </w:p>
        </w:tc>
        <w:tc>
          <w:tcPr>
            <w:tcW w:type="dxa" w:w="994"/>
            <w:vAlign w:val="center"/>
          </w:tcPr>
          <w:p>
            <w:r>
              <w:t>0</w:t>
            </w:r>
          </w:p>
        </w:tc>
        <w:tc>
          <w:tcPr>
            <w:tcW w:type="dxa" w:w="994"/>
            <w:vAlign w:val="center"/>
          </w:tcPr>
          <w:p>
            <w:r>
              <w:t>17463</w:t>
            </w:r>
          </w:p>
        </w:tc>
        <w:tc>
          <w:tcPr>
            <w:tcW w:type="dxa" w:w="994"/>
            <w:vAlign w:val="center"/>
          </w:tcPr>
          <w:p>
            <w:r>
              <w:t>51.8625</w:t>
            </w:r>
          </w:p>
        </w:tc>
      </w:tr>
      <w:tr>
        <w:tc>
          <w:tcPr>
            <w:tcW w:type="dxa" w:w="994"/>
            <w:vAlign w:val="center"/>
          </w:tcPr>
          <w:p>
            <w:r>
              <w:t>8</w:t>
            </w:r>
          </w:p>
        </w:tc>
        <w:tc>
          <w:tcPr>
            <w:tcW w:type="dxa" w:w="994"/>
            <w:vAlign w:val="center"/>
          </w:tcPr>
          <w:p>
            <w:r>
              <w:t>0</w:t>
            </w:r>
          </w:p>
        </w:tc>
        <w:tc>
          <w:tcPr>
            <w:tcW w:type="dxa" w:w="994"/>
            <w:vAlign w:val="center"/>
          </w:tcPr>
          <w:p>
            <w:r>
              <w:t>3</w:t>
            </w:r>
          </w:p>
        </w:tc>
        <w:tc>
          <w:tcPr>
            <w:tcW w:type="dxa" w:w="994"/>
            <w:vAlign w:val="center"/>
          </w:tcPr>
          <w:p>
            <w:r>
              <w:t>Palsson, Master. Gosta Leonard</w:t>
            </w:r>
          </w:p>
        </w:tc>
        <w:tc>
          <w:tcPr>
            <w:tcW w:type="dxa" w:w="994"/>
            <w:vAlign w:val="center"/>
          </w:tcPr>
          <w:p>
            <w:r>
              <w:t>male</w:t>
            </w:r>
          </w:p>
        </w:tc>
        <w:tc>
          <w:tcPr>
            <w:tcW w:type="dxa" w:w="994"/>
            <w:vAlign w:val="center"/>
          </w:tcPr>
          <w:p>
            <w:r>
              <w:t>2.0</w:t>
            </w:r>
          </w:p>
        </w:tc>
        <w:tc>
          <w:tcPr>
            <w:tcW w:type="dxa" w:w="994"/>
            <w:vAlign w:val="center"/>
          </w:tcPr>
          <w:p>
            <w:r>
              <w:t>3</w:t>
            </w:r>
          </w:p>
        </w:tc>
        <w:tc>
          <w:tcPr>
            <w:tcW w:type="dxa" w:w="994"/>
            <w:vAlign w:val="center"/>
          </w:tcPr>
          <w:p>
            <w:r>
              <w:t>1</w:t>
            </w:r>
          </w:p>
        </w:tc>
        <w:tc>
          <w:tcPr>
            <w:tcW w:type="dxa" w:w="994"/>
            <w:vAlign w:val="center"/>
          </w:tcPr>
          <w:p>
            <w:r>
              <w:t>349909</w:t>
            </w:r>
          </w:p>
        </w:tc>
        <w:tc>
          <w:tcPr>
            <w:tcW w:type="dxa" w:w="994"/>
            <w:vAlign w:val="center"/>
          </w:tcPr>
          <w:p>
            <w:r>
              <w:t>21.075</w:t>
            </w:r>
          </w:p>
        </w:tc>
      </w:tr>
      <w:tr>
        <w:tc>
          <w:tcPr>
            <w:tcW w:type="dxa" w:w="994"/>
            <w:vAlign w:val="center"/>
          </w:tcPr>
          <w:p>
            <w:r>
              <w:t>9</w:t>
            </w:r>
          </w:p>
        </w:tc>
        <w:tc>
          <w:tcPr>
            <w:tcW w:type="dxa" w:w="994"/>
            <w:vAlign w:val="center"/>
          </w:tcPr>
          <w:p>
            <w:r>
              <w:t>1</w:t>
            </w:r>
          </w:p>
        </w:tc>
        <w:tc>
          <w:tcPr>
            <w:tcW w:type="dxa" w:w="994"/>
            <w:vAlign w:val="center"/>
          </w:tcPr>
          <w:p>
            <w:r>
              <w:t>3</w:t>
            </w:r>
          </w:p>
        </w:tc>
        <w:tc>
          <w:tcPr>
            <w:tcW w:type="dxa" w:w="994"/>
            <w:vAlign w:val="center"/>
          </w:tcPr>
          <w:p>
            <w:r>
              <w:t>Johnson, Mrs. Oscar W (Elisabeth Vilhelmina Berg)</w:t>
            </w:r>
          </w:p>
        </w:tc>
        <w:tc>
          <w:tcPr>
            <w:tcW w:type="dxa" w:w="994"/>
            <w:vAlign w:val="center"/>
          </w:tcPr>
          <w:p>
            <w:r>
              <w:t>female</w:t>
            </w:r>
          </w:p>
        </w:tc>
        <w:tc>
          <w:tcPr>
            <w:tcW w:type="dxa" w:w="994"/>
            <w:vAlign w:val="center"/>
          </w:tcPr>
          <w:p>
            <w:r>
              <w:t>27.0</w:t>
            </w:r>
          </w:p>
        </w:tc>
        <w:tc>
          <w:tcPr>
            <w:tcW w:type="dxa" w:w="994"/>
            <w:vAlign w:val="center"/>
          </w:tcPr>
          <w:p>
            <w:r>
              <w:t>0</w:t>
            </w:r>
          </w:p>
        </w:tc>
        <w:tc>
          <w:tcPr>
            <w:tcW w:type="dxa" w:w="994"/>
            <w:vAlign w:val="center"/>
          </w:tcPr>
          <w:p>
            <w:r>
              <w:t>2</w:t>
            </w:r>
          </w:p>
        </w:tc>
        <w:tc>
          <w:tcPr>
            <w:tcW w:type="dxa" w:w="994"/>
            <w:vAlign w:val="center"/>
          </w:tcPr>
          <w:p>
            <w:r>
              <w:t>347742</w:t>
            </w:r>
          </w:p>
        </w:tc>
        <w:tc>
          <w:tcPr>
            <w:tcW w:type="dxa" w:w="994"/>
            <w:vAlign w:val="center"/>
          </w:tcPr>
          <w:p>
            <w:r>
              <w:t>11.1333</w:t>
            </w:r>
          </w:p>
        </w:tc>
      </w:tr>
      <w:tr>
        <w:tc>
          <w:tcPr>
            <w:tcW w:type="dxa" w:w="994"/>
            <w:vAlign w:val="center"/>
          </w:tcPr>
          <w:p>
            <w:r>
              <w:t>10</w:t>
            </w:r>
          </w:p>
        </w:tc>
        <w:tc>
          <w:tcPr>
            <w:tcW w:type="dxa" w:w="994"/>
            <w:vAlign w:val="center"/>
          </w:tcPr>
          <w:p>
            <w:r>
              <w:t>1</w:t>
            </w:r>
          </w:p>
        </w:tc>
        <w:tc>
          <w:tcPr>
            <w:tcW w:type="dxa" w:w="994"/>
            <w:vAlign w:val="center"/>
          </w:tcPr>
          <w:p>
            <w:r>
              <w:t>2</w:t>
            </w:r>
          </w:p>
        </w:tc>
        <w:tc>
          <w:tcPr>
            <w:tcW w:type="dxa" w:w="994"/>
            <w:vAlign w:val="center"/>
          </w:tcPr>
          <w:p>
            <w:r>
              <w:t>Nasser, Mrs. Nicholas (Adele Achem)</w:t>
            </w:r>
          </w:p>
        </w:tc>
        <w:tc>
          <w:tcPr>
            <w:tcW w:type="dxa" w:w="994"/>
            <w:vAlign w:val="center"/>
          </w:tcPr>
          <w:p>
            <w:r>
              <w:t>female</w:t>
            </w:r>
          </w:p>
        </w:tc>
        <w:tc>
          <w:tcPr>
            <w:tcW w:type="dxa" w:w="994"/>
            <w:vAlign w:val="center"/>
          </w:tcPr>
          <w:p>
            <w:r>
              <w:t>14.0</w:t>
            </w:r>
          </w:p>
        </w:tc>
        <w:tc>
          <w:tcPr>
            <w:tcW w:type="dxa" w:w="994"/>
            <w:vAlign w:val="center"/>
          </w:tcPr>
          <w:p>
            <w:r>
              <w:t>1</w:t>
            </w:r>
          </w:p>
        </w:tc>
        <w:tc>
          <w:tcPr>
            <w:tcW w:type="dxa" w:w="994"/>
            <w:vAlign w:val="center"/>
          </w:tcPr>
          <w:p>
            <w:r>
              <w:t>0</w:t>
            </w:r>
          </w:p>
        </w:tc>
        <w:tc>
          <w:tcPr>
            <w:tcW w:type="dxa" w:w="994"/>
            <w:vAlign w:val="center"/>
          </w:tcPr>
          <w:p>
            <w:r>
              <w:t>237736</w:t>
            </w:r>
          </w:p>
        </w:tc>
        <w:tc>
          <w:tcPr>
            <w:tcW w:type="dxa" w:w="994"/>
            <w:vAlign w:val="center"/>
          </w:tcPr>
          <w:p>
            <w:r>
              <w:t>30.0708</w:t>
            </w:r>
          </w:p>
        </w:tc>
      </w:tr>
    </w:tbl>
    <w:p>
      <w:r>
        <w:t>The table above is a sample of the cleaned dataset. The complete cleaned dataset is provided separately as Titanic_cleaned.csv, along with Titanic_model_ready.csv for numerical preprocessing.</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Data Acquisition, Cleaning, and Preprocessing | Titanic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