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4A17" w14:textId="77777777" w:rsidR="00FB6A89" w:rsidRPr="00FB6A89" w:rsidRDefault="00FB6A89" w:rsidP="005B70D5"/>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rsidRPr="00FB6A89">
        <w:t>Peripheral Macular Endothelial Dystrophy: Clinical, Histopathologic, Genetic and Functional Characterization</w:t>
      </w:r>
    </w:p>
    <w:p w14:paraId="1FCF062E" w14:textId="14EA5A5B" w:rsidR="00906F6B" w:rsidRPr="00FB7CC4" w:rsidRDefault="00906F6B" w:rsidP="00FB6A89">
      <w:pPr>
        <w:pStyle w:val="ShortTitle"/>
      </w:pPr>
      <w:r w:rsidRPr="00FB7CC4">
        <w:t>Short title: Peripheral Macular Endothelial Dystrophy</w:t>
      </w:r>
    </w:p>
    <w:p w14:paraId="4E74C4C9" w14:textId="387B90FE" w:rsidR="00E603D3" w:rsidRPr="00FB6A89" w:rsidRDefault="00FB6A89" w:rsidP="00FB6A89">
      <w:pPr>
        <w:pStyle w:val="Authors"/>
      </w:pPr>
      <w:r w:rsidRPr="00FB6A89">
        <w:rPr>
          <w:rStyle w:val="FirstName"/>
          <w:bdr w:val="dotted" w:sz="4" w:space="0" w:color="auto"/>
        </w:rPr>
        <w:t>Wenlin</w:t>
      </w:r>
      <w:r w:rsidRPr="00FB6A89">
        <w:rPr>
          <w:rFonts w:ascii="Arial" w:hAnsi="Arial" w:cs="Arial"/>
          <w:bdr w:val="dotted" w:sz="4" w:space="0" w:color="auto"/>
        </w:rPr>
        <w:t xml:space="preserve"> </w:t>
      </w:r>
      <w:r w:rsidRPr="00FB6A89">
        <w:rPr>
          <w:rStyle w:val="Surname"/>
          <w:bdr w:val="dotted" w:sz="4" w:space="0" w:color="auto"/>
        </w:rPr>
        <w:t>Zhang</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Huong</w:t>
      </w:r>
      <w:r w:rsidRPr="00FB6A89">
        <w:rPr>
          <w:rFonts w:ascii="Arial" w:hAnsi="Arial" w:cs="Arial"/>
          <w:bdr w:val="dotted" w:sz="4" w:space="0" w:color="auto"/>
        </w:rPr>
        <w:t xml:space="preserve"> </w:t>
      </w:r>
      <w:r w:rsidRPr="00FB6A89">
        <w:rPr>
          <w:rStyle w:val="Surname"/>
          <w:bdr w:val="dotted" w:sz="4" w:space="0" w:color="auto"/>
        </w:rPr>
        <w:t>Duong</w:t>
      </w:r>
      <w:r w:rsidRPr="00FB6A89">
        <w:rPr>
          <w:rFonts w:ascii="Arial" w:hAnsi="Arial" w:cs="Arial"/>
          <w:bdr w:val="dotted" w:sz="4" w:space="0" w:color="auto"/>
          <w:vertAlign w:val="superscript"/>
        </w:rPr>
        <w:t>b</w:t>
      </w:r>
      <w:r w:rsidRPr="00FB6A89">
        <w:t>,</w:t>
      </w:r>
      <w:r w:rsidRPr="00FB6A89">
        <w:rPr>
          <w:rFonts w:ascii="Arial" w:hAnsi="Arial" w:cs="Arial"/>
          <w:b/>
          <w:bCs/>
        </w:rPr>
        <w:t xml:space="preserve"> </w:t>
      </w:r>
      <w:r w:rsidRPr="00FB6A89">
        <w:rPr>
          <w:rStyle w:val="FirstName"/>
          <w:bdr w:val="dotted" w:sz="4" w:space="0" w:color="auto"/>
        </w:rPr>
        <w:t>Passara</w:t>
      </w:r>
      <w:r w:rsidRPr="00FB6A89">
        <w:rPr>
          <w:rFonts w:ascii="Arial" w:hAnsi="Arial" w:cs="Arial"/>
          <w:bdr w:val="dotted" w:sz="4" w:space="0" w:color="auto"/>
        </w:rPr>
        <w:t xml:space="preserve"> </w:t>
      </w:r>
      <w:r w:rsidRPr="00FB6A89">
        <w:rPr>
          <w:rStyle w:val="Surname"/>
          <w:bdr w:val="dotted" w:sz="4" w:space="0" w:color="auto"/>
        </w:rPr>
        <w:t>Jongkhajornpong</w:t>
      </w:r>
      <w:r w:rsidRPr="00FB6A89">
        <w:rPr>
          <w:rFonts w:ascii="Arial" w:hAnsi="Arial" w:cs="Arial"/>
          <w:bdr w:val="dotted" w:sz="4" w:space="0" w:color="auto"/>
          <w:vertAlign w:val="superscript"/>
        </w:rPr>
        <w:t>c</w:t>
      </w:r>
      <w:r w:rsidRPr="00FB6A89">
        <w:t>,</w:t>
      </w:r>
      <w:r w:rsidRPr="00FB6A89">
        <w:rPr>
          <w:rFonts w:ascii="Arial" w:hAnsi="Arial" w:cs="Arial"/>
        </w:rPr>
        <w:t xml:space="preserve"> </w:t>
      </w:r>
      <w:r w:rsidRPr="00FB6A89">
        <w:rPr>
          <w:rStyle w:val="FirstName"/>
          <w:bdr w:val="dotted" w:sz="4" w:space="0" w:color="auto"/>
        </w:rPr>
        <w:t>Do Thi Thuy</w:t>
      </w:r>
      <w:r w:rsidRPr="00FB6A89">
        <w:rPr>
          <w:rFonts w:ascii="Arial" w:hAnsi="Arial" w:cs="Arial"/>
          <w:bdr w:val="dotted" w:sz="4" w:space="0" w:color="auto"/>
        </w:rPr>
        <w:t xml:space="preserve"> </w:t>
      </w:r>
      <w:r w:rsidRPr="00FB6A89">
        <w:rPr>
          <w:rStyle w:val="Surname"/>
          <w:bdr w:val="dotted" w:sz="4" w:space="0" w:color="auto"/>
        </w:rPr>
        <w:t>Hang</w:t>
      </w:r>
      <w:r w:rsidRPr="00FB6A89">
        <w:rPr>
          <w:rFonts w:ascii="Arial" w:hAnsi="Arial" w:cs="Arial"/>
          <w:bdr w:val="dotted" w:sz="4" w:space="0" w:color="auto"/>
          <w:vertAlign w:val="superscript"/>
        </w:rPr>
        <w:t>d</w:t>
      </w:r>
      <w:r w:rsidRPr="00FB6A89">
        <w:t>,</w:t>
      </w:r>
      <w:r w:rsidRPr="00FB6A89">
        <w:rPr>
          <w:rFonts w:ascii="Arial" w:hAnsi="Arial" w:cs="Arial"/>
        </w:rPr>
        <w:t xml:space="preserve"> </w:t>
      </w:r>
      <w:r w:rsidRPr="00FB6A89">
        <w:rPr>
          <w:rStyle w:val="FirstName"/>
          <w:bdr w:val="dotted" w:sz="4" w:space="0" w:color="auto"/>
        </w:rPr>
        <w:t>Huan</w:t>
      </w:r>
      <w:r w:rsidRPr="00FB6A89">
        <w:rPr>
          <w:rFonts w:ascii="Arial" w:hAnsi="Arial" w:cs="Arial"/>
          <w:bdr w:val="dotted" w:sz="4" w:space="0" w:color="auto"/>
        </w:rPr>
        <w:t xml:space="preserve"> </w:t>
      </w:r>
      <w:r w:rsidRPr="00FB6A89">
        <w:rPr>
          <w:rStyle w:val="Surname"/>
          <w:bdr w:val="dotted" w:sz="4" w:space="0" w:color="auto"/>
        </w:rPr>
        <w:t>Pham</w:t>
      </w:r>
      <w:r w:rsidRPr="00FB6A89">
        <w:rPr>
          <w:rFonts w:ascii="Arial" w:hAnsi="Arial" w:cs="Arial"/>
          <w:bdr w:val="dotted" w:sz="4" w:space="0" w:color="auto"/>
          <w:vertAlign w:val="superscript"/>
        </w:rPr>
        <w:t>b</w:t>
      </w:r>
      <w:r w:rsidRPr="00FB6A89">
        <w:t>,</w:t>
      </w:r>
      <w:r w:rsidRPr="00FB6A89">
        <w:rPr>
          <w:rFonts w:ascii="Arial" w:hAnsi="Arial" w:cs="Arial"/>
        </w:rPr>
        <w:t xml:space="preserve"> </w:t>
      </w:r>
      <w:r w:rsidRPr="00FB6A89">
        <w:rPr>
          <w:rStyle w:val="FirstName"/>
          <w:bdr w:val="dotted" w:sz="4" w:space="0" w:color="auto"/>
        </w:rPr>
        <w:t>Mai</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b</w:t>
      </w:r>
      <w:r w:rsidRPr="00FB6A89">
        <w:t>,</w:t>
      </w:r>
      <w:r w:rsidRPr="00FB6A89">
        <w:rPr>
          <w:rFonts w:ascii="Arial" w:hAnsi="Arial" w:cs="Arial"/>
          <w:vertAlign w:val="superscript"/>
        </w:rPr>
        <w:t xml:space="preserve"> </w:t>
      </w:r>
      <w:r w:rsidRPr="00FB6A89">
        <w:rPr>
          <w:rStyle w:val="FirstName"/>
          <w:bdr w:val="dotted" w:sz="4" w:space="0" w:color="auto"/>
        </w:rPr>
        <w:t>Charlene</w:t>
      </w:r>
      <w:r w:rsidRPr="00FB6A89">
        <w:rPr>
          <w:rFonts w:ascii="Arial" w:hAnsi="Arial" w:cs="Arial"/>
          <w:bdr w:val="dotted" w:sz="4" w:space="0" w:color="auto"/>
        </w:rPr>
        <w:t xml:space="preserve"> </w:t>
      </w:r>
      <w:r w:rsidRPr="00FB6A89">
        <w:rPr>
          <w:rStyle w:val="Surname"/>
          <w:bdr w:val="dotted" w:sz="4" w:space="0" w:color="auto"/>
        </w:rPr>
        <w:t>Choo</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Dominic</w:t>
      </w:r>
      <w:r w:rsidRPr="00FB6A89">
        <w:rPr>
          <w:rFonts w:ascii="Arial" w:hAnsi="Arial" w:cs="Arial"/>
          <w:bdr w:val="dotted" w:sz="4" w:space="0" w:color="auto"/>
        </w:rPr>
        <w:t xml:space="preserve"> </w:t>
      </w:r>
      <w:r w:rsidRPr="00FB6A89">
        <w:rPr>
          <w:rStyle w:val="Surname"/>
          <w:bdr w:val="dotted" w:sz="4" w:space="0" w:color="auto"/>
        </w:rPr>
        <w:t>Williams</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Xuan</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Tien Dat</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Brian</w:t>
      </w:r>
      <w:r w:rsidRPr="00FB6A89">
        <w:rPr>
          <w:rFonts w:ascii="Arial" w:hAnsi="Arial" w:cs="Arial"/>
          <w:bdr w:val="dotted" w:sz="4" w:space="0" w:color="auto"/>
        </w:rPr>
        <w:t xml:space="preserve"> </w:t>
      </w:r>
      <w:r w:rsidRPr="00FB6A89">
        <w:rPr>
          <w:rStyle w:val="Surname"/>
          <w:bdr w:val="dotted" w:sz="4" w:space="0" w:color="auto"/>
        </w:rPr>
        <w:t>Aguirre</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Shaukat</w:t>
      </w:r>
      <w:r w:rsidRPr="00FB6A89">
        <w:rPr>
          <w:rFonts w:ascii="Arial" w:hAnsi="Arial" w:cs="Arial"/>
          <w:bdr w:val="dotted" w:sz="4" w:space="0" w:color="auto"/>
        </w:rPr>
        <w:t xml:space="preserve"> </w:t>
      </w:r>
      <w:r w:rsidRPr="00FB6A89">
        <w:rPr>
          <w:rStyle w:val="Surname"/>
          <w:bdr w:val="dotted" w:sz="4" w:space="0" w:color="auto"/>
        </w:rPr>
        <w:t>Khan</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Madhuri</w:t>
      </w:r>
      <w:r w:rsidRPr="00FB6A89">
        <w:rPr>
          <w:rFonts w:ascii="Arial" w:hAnsi="Arial" w:cs="Arial"/>
          <w:bdr w:val="dotted" w:sz="4" w:space="0" w:color="auto"/>
        </w:rPr>
        <w:t xml:space="preserve"> </w:t>
      </w:r>
      <w:r w:rsidRPr="00FB6A89">
        <w:rPr>
          <w:rStyle w:val="Surname"/>
          <w:bdr w:val="dotted" w:sz="4" w:space="0" w:color="auto"/>
        </w:rPr>
        <w:t>Wadehra</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Shunji</w:t>
      </w:r>
      <w:r w:rsidRPr="00FB6A89">
        <w:rPr>
          <w:rFonts w:ascii="Arial" w:hAnsi="Arial" w:cs="Arial"/>
          <w:bdr w:val="dotted" w:sz="4" w:space="0" w:color="auto"/>
        </w:rPr>
        <w:t xml:space="preserve"> </w:t>
      </w:r>
      <w:r w:rsidRPr="00FB6A89">
        <w:rPr>
          <w:rStyle w:val="Surname"/>
          <w:bdr w:val="dotted" w:sz="4" w:space="0" w:color="auto"/>
        </w:rPr>
        <w:t>Tomatsu</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Anthony J.</w:t>
      </w:r>
      <w:r w:rsidRPr="00FB6A89">
        <w:rPr>
          <w:rFonts w:ascii="Arial" w:hAnsi="Arial" w:cs="Arial"/>
          <w:bdr w:val="dotted" w:sz="4" w:space="0" w:color="auto"/>
        </w:rPr>
        <w:t xml:space="preserve"> </w:t>
      </w:r>
      <w:r w:rsidRPr="00FB6A89">
        <w:rPr>
          <w:rStyle w:val="Surname"/>
          <w:bdr w:val="dotted" w:sz="4" w:space="0" w:color="auto"/>
        </w:rPr>
        <w:t>Aldave</w:t>
      </w:r>
      <w:r w:rsidRPr="00FB6A89">
        <w:rPr>
          <w:rFonts w:ascii="Arial" w:hAnsi="Arial" w:cs="Arial"/>
          <w:bdr w:val="dotted" w:sz="4" w:space="0" w:color="auto"/>
          <w:vertAlign w:val="superscript"/>
        </w:rPr>
        <w:t>a,*</w:t>
      </w:r>
      <w:r w:rsidRPr="00FB6A89">
        <w:rPr>
          <w:rStyle w:val="Email"/>
          <w:bdr w:val="dotted" w:sz="4" w:space="0" w:color="auto"/>
        </w:rPr>
        <w:t>aldave@jsei.ucla.edu</w:t>
      </w:r>
    </w:p>
    <w:p w14:paraId="0646EAAB" w14:textId="07143FFA" w:rsidR="00212776" w:rsidRPr="00FB6A89" w:rsidRDefault="00FB6A89" w:rsidP="00FB6A89">
      <w:pPr>
        <w:pStyle w:val="Affiliation"/>
      </w:pPr>
      <w:r w:rsidRPr="00FB6A89">
        <w:rPr>
          <w:rFonts w:ascii="Arial" w:hAnsi="Arial" w:cs="Arial"/>
          <w:vertAlign w:val="superscript"/>
          <w:lang w:val="es-ES"/>
        </w:rPr>
        <w:t>a</w:t>
      </w:r>
      <w:r w:rsidRPr="00FB6A89">
        <w:rPr>
          <w:rStyle w:val="OrgDiv"/>
        </w:rPr>
        <w:t>Stein Eye Institute</w:t>
      </w:r>
      <w:r w:rsidRPr="00FB6A89">
        <w:rPr>
          <w:rFonts w:ascii="Arial" w:hAnsi="Arial" w:cs="Arial"/>
          <w:lang w:val="es-ES"/>
        </w:rPr>
        <w:t xml:space="preserve">, </w:t>
      </w:r>
      <w:r w:rsidRPr="00FB6A89">
        <w:rPr>
          <w:rStyle w:val="OrgName"/>
        </w:rPr>
        <w:t>UCLA</w:t>
      </w:r>
      <w:r w:rsidRPr="00FB6A89">
        <w:rPr>
          <w:rFonts w:ascii="Arial" w:hAnsi="Arial" w:cs="Arial"/>
          <w:lang w:val="es-ES"/>
        </w:rPr>
        <w:t xml:space="preserve">, </w:t>
      </w:r>
      <w:r w:rsidRPr="00FB6A89">
        <w:rPr>
          <w:rStyle w:val="City"/>
        </w:rPr>
        <w:t>Los Angeles</w:t>
      </w:r>
      <w:r w:rsidRPr="00FB6A89">
        <w:rPr>
          <w:rFonts w:ascii="Arial" w:hAnsi="Arial" w:cs="Arial"/>
          <w:lang w:val="es-ES"/>
        </w:rPr>
        <w:t xml:space="preserve"> </w:t>
      </w:r>
      <w:r w:rsidRPr="00FB6A89">
        <w:rPr>
          <w:rStyle w:val="Country"/>
        </w:rPr>
        <w:t>CA</w:t>
      </w:r>
    </w:p>
    <w:p w14:paraId="741F145B" w14:textId="017CF2E0" w:rsidR="00212776" w:rsidRPr="00FB6A89" w:rsidRDefault="00FB6A89" w:rsidP="00FB6A89">
      <w:pPr>
        <w:pStyle w:val="Affiliation"/>
      </w:pPr>
      <w:r w:rsidRPr="00FB6A89">
        <w:rPr>
          <w:rFonts w:ascii="Arial" w:hAnsi="Arial" w:cs="Arial"/>
          <w:vertAlign w:val="superscript"/>
        </w:rPr>
        <w:t>b</w:t>
      </w:r>
      <w:r w:rsidRPr="00FB6A89">
        <w:rPr>
          <w:rStyle w:val="OrgDiv"/>
        </w:rPr>
        <w:t>Ho Chi Minh City Eye Hospital</w:t>
      </w:r>
      <w:r w:rsidRPr="00FB6A89">
        <w:rPr>
          <w:rFonts w:ascii="Arial" w:hAnsi="Arial" w:cs="Arial"/>
        </w:rPr>
        <w:t xml:space="preserve">, </w:t>
      </w:r>
      <w:r w:rsidRPr="00FB6A89">
        <w:rPr>
          <w:rStyle w:val="OrgName"/>
        </w:rPr>
        <w:t>Ho Chi Minh City</w:t>
      </w:r>
      <w:r w:rsidRPr="00FB6A89">
        <w:rPr>
          <w:rFonts w:ascii="Arial" w:hAnsi="Arial" w:cs="Arial"/>
        </w:rPr>
        <w:t xml:space="preserve">, </w:t>
      </w:r>
      <w:r w:rsidRPr="00FB6A89">
        <w:rPr>
          <w:rStyle w:val="Country"/>
        </w:rPr>
        <w:t>Vietnam</w:t>
      </w:r>
    </w:p>
    <w:p w14:paraId="738E2E01" w14:textId="0580E6A3" w:rsidR="00097A80" w:rsidRPr="00FB6A89" w:rsidRDefault="00FB6A89" w:rsidP="00FB6A89">
      <w:pPr>
        <w:pStyle w:val="Affiliation"/>
      </w:pPr>
      <w:r w:rsidRPr="00FB6A89">
        <w:rPr>
          <w:rFonts w:ascii="Arial" w:hAnsi="Arial" w:cs="Arial"/>
          <w:vertAlign w:val="superscript"/>
        </w:rPr>
        <w:t>c</w:t>
      </w:r>
      <w:r w:rsidRPr="00FB6A89">
        <w:rPr>
          <w:rStyle w:val="OrgDiv"/>
        </w:rPr>
        <w:t>Department of Ophthalmology</w:t>
      </w:r>
      <w:r w:rsidRPr="00FB6A89">
        <w:rPr>
          <w:rFonts w:ascii="Arial" w:hAnsi="Arial" w:cs="Arial"/>
        </w:rPr>
        <w:t xml:space="preserve">, </w:t>
      </w:r>
      <w:r w:rsidRPr="00FB6A89">
        <w:rPr>
          <w:rStyle w:val="OrgName"/>
        </w:rPr>
        <w:t>Faculty of Medicine Ramathibodi Hospital</w:t>
      </w:r>
      <w:r w:rsidRPr="00FB6A89">
        <w:rPr>
          <w:rFonts w:ascii="Arial" w:hAnsi="Arial" w:cs="Arial"/>
        </w:rPr>
        <w:t xml:space="preserve">, </w:t>
      </w:r>
      <w:r w:rsidRPr="00FB6A89">
        <w:rPr>
          <w:rStyle w:val="OrgName"/>
        </w:rPr>
        <w:t>Mahidol University</w:t>
      </w:r>
      <w:r w:rsidRPr="00FB6A89">
        <w:rPr>
          <w:rFonts w:ascii="Arial" w:hAnsi="Arial" w:cs="Arial"/>
        </w:rPr>
        <w:t xml:space="preserve">, </w:t>
      </w:r>
      <w:r w:rsidRPr="00FB6A89">
        <w:rPr>
          <w:rStyle w:val="State"/>
        </w:rPr>
        <w:t>Bangkok</w:t>
      </w:r>
      <w:r w:rsidRPr="00FB6A89">
        <w:rPr>
          <w:rFonts w:ascii="Arial" w:hAnsi="Arial" w:cs="Arial"/>
        </w:rPr>
        <w:t xml:space="preserve">, </w:t>
      </w:r>
      <w:r w:rsidRPr="00FB6A89">
        <w:rPr>
          <w:rStyle w:val="Country"/>
        </w:rPr>
        <w:t>Thailand</w:t>
      </w:r>
    </w:p>
    <w:p w14:paraId="54E2A8DC" w14:textId="5BC12761" w:rsidR="00212776" w:rsidRPr="00FB6A89" w:rsidRDefault="00FB6A89" w:rsidP="00FB6A89">
      <w:pPr>
        <w:pStyle w:val="Affiliation"/>
      </w:pPr>
      <w:r w:rsidRPr="00FB6A89">
        <w:rPr>
          <w:rFonts w:ascii="Arial" w:hAnsi="Arial" w:cs="Arial"/>
          <w:vertAlign w:val="superscript"/>
        </w:rPr>
        <w:t>d</w:t>
      </w:r>
      <w:r w:rsidRPr="00FB6A89">
        <w:rPr>
          <w:rStyle w:val="OrgDiv"/>
        </w:rPr>
        <w:t>Vietnam National Eye Hospital</w:t>
      </w:r>
      <w:r w:rsidRPr="00FB6A89">
        <w:rPr>
          <w:rFonts w:ascii="Arial" w:hAnsi="Arial" w:cs="Arial"/>
        </w:rPr>
        <w:t xml:space="preserve">, </w:t>
      </w:r>
      <w:r w:rsidRPr="00FB6A89">
        <w:rPr>
          <w:rStyle w:val="State"/>
        </w:rPr>
        <w:t>Hanoi</w:t>
      </w:r>
      <w:r w:rsidRPr="00FB6A89">
        <w:rPr>
          <w:rFonts w:ascii="Arial" w:hAnsi="Arial" w:cs="Arial"/>
        </w:rPr>
        <w:t xml:space="preserve">, </w:t>
      </w:r>
      <w:r w:rsidRPr="00FB6A89">
        <w:rPr>
          <w:rStyle w:val="Country"/>
        </w:rPr>
        <w:t>Vietnam</w:t>
      </w:r>
    </w:p>
    <w:p w14:paraId="0D2B6585" w14:textId="32FC3714" w:rsidR="00053D4E" w:rsidRPr="00FB6A89" w:rsidRDefault="00FB6A89" w:rsidP="00FB6A89">
      <w:pPr>
        <w:pStyle w:val="Affiliation"/>
      </w:pPr>
      <w:r w:rsidRPr="00FB6A89">
        <w:rPr>
          <w:vertAlign w:val="superscript"/>
        </w:rPr>
        <w:t>e</w:t>
      </w:r>
      <w:r w:rsidRPr="00FB6A89">
        <w:rPr>
          <w:rStyle w:val="OrgName"/>
        </w:rPr>
        <w:t>University of Medicine and Pharmacy at Ho Chi Minh City</w:t>
      </w:r>
      <w:r w:rsidRPr="00FB6A89">
        <w:rPr>
          <w:rFonts w:ascii="Arial" w:hAnsi="Arial" w:cs="Arial"/>
        </w:rPr>
        <w:t xml:space="preserve">, </w:t>
      </w:r>
      <w:r w:rsidRPr="00FB6A89">
        <w:rPr>
          <w:rStyle w:val="City"/>
        </w:rPr>
        <w:t>Ho Chi Minh City</w:t>
      </w:r>
      <w:r w:rsidRPr="00FB6A89">
        <w:rPr>
          <w:rFonts w:ascii="Arial" w:hAnsi="Arial" w:cs="Arial"/>
        </w:rPr>
        <w:t xml:space="preserve">, </w:t>
      </w:r>
      <w:r w:rsidRPr="00FB6A89">
        <w:rPr>
          <w:rStyle w:val="Country"/>
        </w:rPr>
        <w:t>Vietnam</w:t>
      </w:r>
    </w:p>
    <w:p w14:paraId="7BC18043" w14:textId="12168F4E" w:rsidR="00212776" w:rsidRPr="00FB6A89" w:rsidRDefault="00FB6A89" w:rsidP="00FB6A89">
      <w:pPr>
        <w:pStyle w:val="Affiliation"/>
      </w:pPr>
      <w:r w:rsidRPr="00FB6A89">
        <w:rPr>
          <w:rFonts w:ascii="Arial" w:hAnsi="Arial" w:cs="Arial"/>
          <w:vertAlign w:val="superscript"/>
        </w:rPr>
        <w:t>f</w:t>
      </w:r>
      <w:r w:rsidRPr="00FB6A89">
        <w:rPr>
          <w:rStyle w:val="OrgDiv"/>
        </w:rPr>
        <w:t>Department of Pathology and Laboratory Medicine</w:t>
      </w:r>
      <w:r w:rsidRPr="00FB6A89">
        <w:rPr>
          <w:rFonts w:ascii="Arial" w:hAnsi="Arial" w:cs="Arial"/>
        </w:rPr>
        <w:t xml:space="preserve">, </w:t>
      </w:r>
      <w:r w:rsidRPr="00FB6A89">
        <w:rPr>
          <w:rStyle w:val="OrgName"/>
        </w:rPr>
        <w:t>UCLA</w:t>
      </w:r>
      <w:r w:rsidRPr="00FB6A89">
        <w:rPr>
          <w:rFonts w:ascii="Arial" w:hAnsi="Arial" w:cs="Arial"/>
        </w:rPr>
        <w:t xml:space="preserve">, </w:t>
      </w:r>
      <w:r w:rsidRPr="00FB6A89">
        <w:rPr>
          <w:rStyle w:val="City"/>
        </w:rPr>
        <w:t>Los Angeles</w:t>
      </w:r>
      <w:r w:rsidRPr="00FB6A89">
        <w:rPr>
          <w:rFonts w:ascii="Arial" w:hAnsi="Arial" w:cs="Arial"/>
        </w:rPr>
        <w:t xml:space="preserve">, </w:t>
      </w:r>
      <w:r w:rsidRPr="00FB6A89">
        <w:rPr>
          <w:rStyle w:val="State"/>
        </w:rPr>
        <w:t>CA</w:t>
      </w:r>
    </w:p>
    <w:p w14:paraId="1B62E900" w14:textId="29711625" w:rsidR="00FE50C9" w:rsidRPr="00FB6A89" w:rsidRDefault="00FB6A89" w:rsidP="00FB6A89">
      <w:pPr>
        <w:pStyle w:val="Affiliation"/>
      </w:pPr>
      <w:r w:rsidRPr="00FB6A89">
        <w:rPr>
          <w:rFonts w:ascii="Arial" w:hAnsi="Arial" w:cs="Arial"/>
          <w:vertAlign w:val="superscript"/>
        </w:rPr>
        <w:t>g</w:t>
      </w:r>
      <w:r w:rsidRPr="00FB6A89">
        <w:rPr>
          <w:rStyle w:val="OrgName"/>
        </w:rPr>
        <w:t>Nemours Children’s Health</w:t>
      </w:r>
      <w:r w:rsidRPr="00FB6A89">
        <w:rPr>
          <w:rFonts w:ascii="Arial" w:hAnsi="Arial" w:cs="Arial"/>
        </w:rPr>
        <w:t xml:space="preserve">, </w:t>
      </w:r>
      <w:r w:rsidRPr="00FB6A89">
        <w:rPr>
          <w:rStyle w:val="City"/>
        </w:rPr>
        <w:t>Wilmington</w:t>
      </w:r>
      <w:r w:rsidRPr="00FB6A89">
        <w:rPr>
          <w:rFonts w:ascii="Arial" w:hAnsi="Arial" w:cs="Arial"/>
        </w:rPr>
        <w:t xml:space="preserve">, </w:t>
      </w:r>
      <w:r w:rsidRPr="00FB6A89">
        <w:rPr>
          <w:rStyle w:val="Country"/>
        </w:rPr>
        <w:t>DE</w:t>
      </w:r>
    </w:p>
    <w:p w14:paraId="1FAFEC60" w14:textId="6E80E121" w:rsidR="00FE50C9" w:rsidRPr="00FB6A89" w:rsidRDefault="00FB6A89" w:rsidP="00FB6A89">
      <w:pPr>
        <w:pStyle w:val="Correspondence"/>
      </w:pPr>
      <w:r w:rsidRPr="00FB6A89">
        <w:t xml:space="preserve">*Correspondence: </w:t>
      </w:r>
      <w:r w:rsidRPr="00FB6A89">
        <w:rPr>
          <w:rStyle w:val="FirstName"/>
          <w:bdr w:val="dotted" w:sz="4" w:space="0" w:color="auto"/>
        </w:rPr>
        <w:t>Anthony J</w:t>
      </w:r>
      <w:r w:rsidRPr="00FB6A89">
        <w:rPr>
          <w:bdr w:val="dotted" w:sz="4" w:space="0" w:color="auto"/>
        </w:rPr>
        <w:t xml:space="preserve">. </w:t>
      </w:r>
      <w:r w:rsidRPr="00FB6A89">
        <w:rPr>
          <w:rStyle w:val="Surname"/>
          <w:bdr w:val="dotted" w:sz="4" w:space="0" w:color="auto"/>
        </w:rPr>
        <w:t>Aldave</w:t>
      </w:r>
      <w:r w:rsidRPr="00FB6A89">
        <w:t xml:space="preserve">, </w:t>
      </w:r>
      <w:r w:rsidRPr="00FB6A89">
        <w:rPr>
          <w:rStyle w:val="OrgDiv"/>
        </w:rPr>
        <w:t>Stein Eye Institute</w:t>
      </w:r>
      <w:r w:rsidRPr="00FB6A89">
        <w:t xml:space="preserve">, </w:t>
      </w:r>
      <w:r w:rsidRPr="00FB6A89">
        <w:rPr>
          <w:rStyle w:val="OrgName"/>
        </w:rPr>
        <w:t>David Geffen School of Medicine at UCLA</w:t>
      </w:r>
      <w:r w:rsidRPr="00FB6A89">
        <w:t xml:space="preserve">, </w:t>
      </w:r>
      <w:r w:rsidRPr="00FB6A89">
        <w:rPr>
          <w:rStyle w:val="Street"/>
        </w:rPr>
        <w:t>200 Stein Plaza, UCLA</w:t>
      </w:r>
      <w:r w:rsidRPr="00FB6A89">
        <w:t xml:space="preserve">, </w:t>
      </w:r>
      <w:r w:rsidRPr="00FB6A89">
        <w:rPr>
          <w:rStyle w:val="City"/>
        </w:rPr>
        <w:t>Los Angeles</w:t>
      </w:r>
      <w:r w:rsidRPr="00FB6A89">
        <w:t xml:space="preserve">, </w:t>
      </w:r>
      <w:r w:rsidRPr="00FB6A89">
        <w:rPr>
          <w:rStyle w:val="Country"/>
        </w:rPr>
        <w:t>CA</w:t>
      </w:r>
      <w:r w:rsidRPr="00FB6A89">
        <w:t xml:space="preserve"> </w:t>
      </w:r>
      <w:r w:rsidRPr="00FB6A89">
        <w:rPr>
          <w:rStyle w:val="PinCode"/>
        </w:rPr>
        <w:t>90095-7003</w:t>
      </w:r>
      <w:r w:rsidRPr="00FB6A89">
        <w:t xml:space="preserve">, Tel: </w:t>
      </w:r>
      <w:r w:rsidRPr="00FB6A89">
        <w:rPr>
          <w:rStyle w:val="Phone"/>
        </w:rPr>
        <w:t>310-206-7202</w:t>
      </w:r>
    </w:p>
    <w:p w14:paraId="64DF6C01" w14:textId="1176687A" w:rsidR="008E1934" w:rsidRPr="00FB6A89" w:rsidRDefault="00FB6A89" w:rsidP="00FB6A89">
      <w:pPr>
        <w:pStyle w:val="AbsHead"/>
      </w:pPr>
      <w:r w:rsidRPr="00FB6A89">
        <w:rPr>
          <w:rFonts w:ascii="Arial" w:hAnsi="Arial" w:cs="Arial"/>
          <w:bCs/>
        </w:rPr>
        <w:t>ABSTRACT</w:t>
      </w:r>
    </w:p>
    <w:p w14:paraId="6A3F5E11" w14:textId="360E18B9" w:rsidR="008E1934" w:rsidRPr="00FB6A89" w:rsidRDefault="00FB6A89" w:rsidP="00FB6A89">
      <w:pPr>
        <w:pStyle w:val="Abstract"/>
      </w:pPr>
      <w:r w:rsidRPr="00FB6A89">
        <w:rPr>
          <w:rStyle w:val="Label"/>
        </w:rPr>
        <w:t>Objective</w:t>
      </w:r>
      <w:r w:rsidRPr="00FB6A89">
        <w:t>: To report a CHST6-associated corneal endothelial dystrophy.</w:t>
      </w:r>
    </w:p>
    <w:p w14:paraId="1C08AE1C" w14:textId="700E97B3" w:rsidR="008E1934" w:rsidRPr="00FB6A89" w:rsidRDefault="00FB6A89" w:rsidP="00FB6A89">
      <w:pPr>
        <w:pStyle w:val="Abstract"/>
      </w:pPr>
      <w:r w:rsidRPr="00FB6A89">
        <w:rPr>
          <w:rStyle w:val="Label"/>
        </w:rPr>
        <w:t>Design</w:t>
      </w:r>
      <w:r w:rsidRPr="00FB6A89">
        <w:t>: Prospective observational case series.</w:t>
      </w:r>
    </w:p>
    <w:p w14:paraId="140C2C49" w14:textId="3E83894E" w:rsidR="008E1934" w:rsidRPr="00FB6A89" w:rsidRDefault="00FB6A89" w:rsidP="00FB6A89">
      <w:pPr>
        <w:pStyle w:val="Abstract"/>
      </w:pPr>
      <w:r w:rsidRPr="00FB6A89">
        <w:rPr>
          <w:rStyle w:val="Label"/>
        </w:rPr>
        <w:t>Participants</w:t>
      </w:r>
      <w:r w:rsidRPr="00FB6A89">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sidRPr="00FB6A89">
        <w:rPr>
          <w:rStyle w:val="Label"/>
        </w:rPr>
        <w:t>Methods</w:t>
      </w:r>
      <w:r w:rsidRPr="00FB6A89">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(HCEnC).</w:t>
      </w:r>
    </w:p>
    <w:p w14:paraId="03A9A3F1" w14:textId="5DD0543B" w:rsidR="008E1934" w:rsidRPr="00FB6A89" w:rsidRDefault="00FB6A89" w:rsidP="00FB6A89">
      <w:pPr>
        <w:pStyle w:val="Abstract"/>
      </w:pPr>
      <w:r w:rsidRPr="00FB6A89">
        <w:rPr>
          <w:rStyle w:val="Label"/>
        </w:rPr>
        <w:t>Main Outcome Measures</w:t>
      </w:r>
      <w:r w:rsidRPr="00FB6A89">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sidRPr="00FB6A89">
        <w:rPr>
          <w:rStyle w:val="Label"/>
        </w:rPr>
        <w:lastRenderedPageBreak/>
        <w:t>Results</w:t>
      </w:r>
      <w:r w:rsidRPr="00FB6A89">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sidRPr="00FB6A89">
        <w:rPr>
          <w:rStyle w:val="Label"/>
        </w:rPr>
        <w:t>Conclusions</w:t>
      </w:r>
      <w:r w:rsidRPr="00FB6A89">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rsidRPr="00FB6A89">
        <w:t>KEYWORDS</w:t>
      </w:r>
    </w:p>
    <w:p w14:paraId="31D63125" w14:textId="03438017" w:rsidR="00FE50C9" w:rsidRPr="00FB6A89" w:rsidRDefault="00FB6A89" w:rsidP="00FB6A89">
      <w:pPr>
        <w:pStyle w:val="KeyWords"/>
        <w:ind w:left="0"/>
      </w:pPr>
      <w:r w:rsidRPr="00FB6A89">
        <w:t>Corneal endothelial dystrophy, CHST6, keratan sulfate</w:t>
      </w:r>
    </w:p>
    <w:p w14:paraId="406D1861" w14:textId="5D2C77B5" w:rsidR="00C20010" w:rsidRPr="00FB6A89" w:rsidRDefault="00FB6A89" w:rsidP="00FB6A89">
      <w:pPr>
        <w:pStyle w:val="Head1"/>
      </w:pPr>
      <w:r w:rsidRPr="00FB6A89">
        <w:rPr>
          <w:rFonts w:ascii="Arial" w:hAnsi="Arial" w:cs="Arial"/>
        </w:rPr>
        <w:t>INTRODUCTION</w:t>
      </w:r>
    </w:p>
    <w:p w14:paraId="50EA88D9" w14:textId="08D545DF" w:rsidR="00FE50C9" w:rsidRPr="00FB6A89" w:rsidRDefault="00FB6A89" w:rsidP="00FB6A89">
      <w:pPr>
        <w:pStyle w:val="Para"/>
      </w:pPr>
      <w:r w:rsidRPr="00FB6A89">
        <w:rPr>
          <w:rFonts w:ascii="Arial" w:hAnsi="Arial" w:cs="Arial"/>
        </w:rPr>
        <w:t>The corneal dystrophies are a group of inherited disorders that are typically bilateral, symmetric, slowly progressive and are not influenced by environmental or systemic factors</w:t>
      </w:r>
      <w:r w:rsidRPr="00FB6A89">
        <w:rPr>
          <w:rFonts w:ascii="Arial" w:hAnsi="Arial" w:cs="Arial"/>
          <w:noProof/>
          <w:vertAlign w:val="superscript"/>
        </w:rPr>
        <w:t>1</w:t>
      </w:r>
      <w:r w:rsidRPr="00FB6A89">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sidRPr="00FB6A89">
        <w:rPr>
          <w:rFonts w:ascii="Arial" w:hAnsi="Arial" w:cs="Arial"/>
          <w:i/>
          <w:iCs/>
        </w:rPr>
        <w:t>TGFBI</w:t>
      </w:r>
      <w:r w:rsidRPr="00FB6A89">
        <w:rPr>
          <w:rFonts w:ascii="Arial" w:hAnsi="Arial" w:cs="Arial"/>
        </w:rPr>
        <w:t xml:space="preserve"> dystrophies are now classified as epithelial-stromal dystrophies.</w:t>
      </w:r>
      <w:r w:rsidRPr="00FB6A89">
        <w:rPr>
          <w:rFonts w:ascii="Arial" w:hAnsi="Arial" w:cs="Arial"/>
          <w:noProof/>
          <w:vertAlign w:val="superscript"/>
        </w:rPr>
        <w:t>2</w:t>
      </w:r>
      <w:r w:rsidRPr="00FB6A89">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sidRPr="00FB6A89">
        <w:rPr>
          <w:rFonts w:ascii="Arial" w:hAnsi="Arial" w:cs="Arial"/>
        </w:rPr>
        <w:t xml:space="preserve">MCD is associated with mutations in the </w:t>
      </w:r>
      <w:r w:rsidRPr="00FB6A89">
        <w:rPr>
          <w:rFonts w:ascii="Arial" w:hAnsi="Arial" w:cs="Arial"/>
          <w:i/>
          <w:iCs/>
        </w:rPr>
        <w:t>CHST6</w:t>
      </w:r>
      <w:r w:rsidRPr="00FB6A89">
        <w:rPr>
          <w:rFonts w:ascii="Arial" w:hAnsi="Arial" w:cs="Arial"/>
        </w:rPr>
        <w:t xml:space="preserve"> gene, encoding </w:t>
      </w:r>
      <w:r w:rsidRPr="00FB6A89">
        <w:rPr>
          <w:rFonts w:ascii="Arial" w:hAnsi="Arial" w:cs="Arial"/>
          <w:bCs/>
        </w:rPr>
        <w:t xml:space="preserve">corneal N-acetylglucosamine-6-O-sulfotransferase (CGn6ST or GlcNAc6ST), which plays an </w:t>
      </w:r>
      <w:r w:rsidRPr="00FB6A89">
        <w:rPr>
          <w:rFonts w:ascii="Arial" w:hAnsi="Arial" w:cs="Arial"/>
        </w:rPr>
        <w:t>essential role in the sulfation of GAG in the cornea by</w:t>
      </w:r>
      <w:r w:rsidRPr="00FB6A89">
        <w:rPr>
          <w:rFonts w:ascii="Arial" w:hAnsi="Arial" w:cs="Arial"/>
          <w:bCs/>
        </w:rPr>
        <w:t xml:space="preserve"> catalyzing the transfer of sulfate from 3'-phosphoadenosine 5'-phosphosulfate to position 6 of a non-reducing N-acetylglucosamine (GlcNAc) residue in keratan sulfate (KS). Decreased CGn6ST/GlcNAc6ST activity in the corneal keratocytes in individuals with </w:t>
      </w:r>
      <w:r w:rsidRPr="00FB6A89">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sidRPr="00FB6A89">
        <w:rPr>
          <w:rFonts w:ascii="Arial" w:hAnsi="Arial" w:cs="Arial"/>
        </w:rPr>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sidRPr="00FB6A89">
        <w:rPr>
          <w:rFonts w:ascii="Arial" w:hAnsi="Arial" w:cs="Arial"/>
          <w:bCs/>
          <w:i/>
          <w:iCs/>
        </w:rPr>
        <w:t xml:space="preserve">CHST6 </w:t>
      </w:r>
      <w:r w:rsidRPr="00FB6A89">
        <w:rPr>
          <w:rFonts w:ascii="Arial" w:hAnsi="Arial" w:cs="Arial"/>
          <w:bCs/>
        </w:rPr>
        <w:t xml:space="preserve">promoter </w:t>
      </w:r>
      <w:r w:rsidRPr="00FB6A89">
        <w:rPr>
          <w:rFonts w:ascii="Arial" w:hAnsi="Arial" w:cs="Arial"/>
        </w:rPr>
        <w:t xml:space="preserve">mutation, we propose the classification of this dystrophy, which we have named </w:t>
      </w:r>
      <w:r w:rsidRPr="00FB6A89">
        <w:rPr>
          <w:rFonts w:ascii="Arial" w:hAnsi="Arial" w:cs="Arial"/>
          <w:bCs/>
        </w:rPr>
        <w:t>Peripheral macular endothelial dystrophy (PMED)</w:t>
      </w:r>
      <w:r w:rsidRPr="00FB6A89">
        <w:rPr>
          <w:rFonts w:ascii="Arial" w:hAnsi="Arial" w:cs="Arial"/>
        </w:rPr>
        <w:t xml:space="preserve">, and MCD as </w:t>
      </w:r>
      <w:r w:rsidRPr="00FB6A89">
        <w:rPr>
          <w:rFonts w:ascii="Arial" w:hAnsi="Arial" w:cs="Arial"/>
          <w:i/>
          <w:iCs/>
        </w:rPr>
        <w:t>CHST6</w:t>
      </w:r>
      <w:r w:rsidRPr="00FB6A89">
        <w:rPr>
          <w:rFonts w:ascii="Arial" w:hAnsi="Arial" w:cs="Arial"/>
        </w:rPr>
        <w:t>-associated corneal dystrophies.</w:t>
      </w:r>
    </w:p>
    <w:p w14:paraId="56DCB36F" w14:textId="461B612A" w:rsidR="00681009" w:rsidRPr="00C71C49" w:rsidRDefault="00C71C49" w:rsidP="00C71C49">
      <w:pPr>
        <w:pStyle w:val="Head1"/>
      </w:pPr>
      <w:r w:rsidRPr="00C71C49">
        <w:rPr>
          <w:rFonts w:ascii="Arial" w:hAnsi="Arial" w:cs="Arial"/>
        </w:rPr>
        <w:t>MATERIALS AND METHODS</w:t>
      </w:r>
    </w:p>
    <w:p w14:paraId="6DFC7930" w14:textId="7D09D69A" w:rsidR="00F23C1E" w:rsidRPr="00C71C49" w:rsidRDefault="00C71C49" w:rsidP="00C71C49">
      <w:pPr>
        <w:pStyle w:val="Para"/>
      </w:pPr>
      <w:r w:rsidRPr="00C71C49">
        <w:rPr>
          <w:rFonts w:ascii="Arial" w:hAnsi="Arial" w:cs="Arial"/>
          <w:bCs/>
        </w:rPr>
        <w:lastRenderedPageBreak/>
        <w:t xml:space="preserve">Approval for this </w:t>
      </w:r>
      <w:r w:rsidRPr="00C71C49">
        <w:rPr>
          <w:rFonts w:ascii="Arial" w:hAnsi="Arial" w:cs="Arial"/>
        </w:rPr>
        <w:t>observational case series</w:t>
      </w:r>
      <w:r w:rsidRPr="00C71C49">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sidRPr="00C71C49">
        <w:rPr>
          <w:rFonts w:ascii="Arial" w:hAnsi="Arial" w:cs="Arial"/>
          <w:bCs/>
          <w:iCs/>
        </w:rPr>
        <w:t>Clinical Evaluation</w:t>
      </w:r>
    </w:p>
    <w:p w14:paraId="12F1A9B7" w14:textId="0B5D265B" w:rsidR="00681009" w:rsidRPr="00C71C49" w:rsidRDefault="00C71C49" w:rsidP="00C71C49">
      <w:pPr>
        <w:pStyle w:val="Para"/>
      </w:pPr>
      <w:r w:rsidRPr="00C71C49">
        <w:rPr>
          <w:rFonts w:ascii="Arial" w:hAnsi="Arial" w:cs="Arial"/>
          <w:bCs/>
        </w:rPr>
        <w:t>All affected and unaffected individuals from seven families who agreed to participate in the study underwent a comprehensive ophthalmic examination (Fig. 1), including slit lamp biomicroscopy and photography, ultrasound biomicroscopy (UBM), Scheimpflug imaging (Oculus Pentacam),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sidRPr="00C71C49">
        <w:rPr>
          <w:rFonts w:ascii="Arial" w:hAnsi="Arial" w:cs="Arial"/>
          <w:bCs/>
          <w:iCs/>
        </w:rPr>
        <w:t>Sanger Sequencing of CHST6</w:t>
      </w:r>
    </w:p>
    <w:p w14:paraId="78E32718" w14:textId="413BD57E" w:rsidR="00FE50C9" w:rsidRPr="00C71C49" w:rsidRDefault="00C71C49" w:rsidP="00C71C49">
      <w:pPr>
        <w:pStyle w:val="Para"/>
      </w:pPr>
      <w:r w:rsidRPr="00C71C49">
        <w:rPr>
          <w:rFonts w:ascii="Arial" w:hAnsi="Arial" w:cs="Arial"/>
          <w:bCs/>
        </w:rPr>
        <w:t>After obtaining informed consent, saliva and/or blood samples were collected from members of each of the seven families using a saliva collection kit (Oragene, DNA Genotek, Inc.) or a standard phlebotomy procedure. Genomic DNA was isolated from saliva samples using the Oragene Purifier (OG-L2P, DNA Genotek, Inc.) and from blood samples using the FlexiGene DNA Kit (QIAGEN), according to the manufacturer’s instructions.</w:t>
      </w:r>
      <w:r w:rsidRPr="00C71C49">
        <w:rPr>
          <w:rFonts w:ascii="Arial" w:hAnsi="Arial" w:cs="Arial"/>
          <w:b/>
        </w:rPr>
        <w:t xml:space="preserve"> </w:t>
      </w:r>
      <w:r w:rsidRPr="00C71C49">
        <w:rPr>
          <w:rFonts w:ascii="Arial" w:hAnsi="Arial" w:cs="Arial"/>
          <w:bCs/>
        </w:rPr>
        <w:t xml:space="preserve">Each of the three exons of </w:t>
      </w:r>
      <w:r w:rsidRPr="00C71C49">
        <w:rPr>
          <w:rFonts w:ascii="Arial" w:hAnsi="Arial" w:cs="Arial"/>
          <w:bCs/>
          <w:i/>
          <w:iCs/>
        </w:rPr>
        <w:t>CHST6</w:t>
      </w:r>
      <w:r w:rsidRPr="00C71C49">
        <w:rPr>
          <w:rFonts w:ascii="Arial" w:hAnsi="Arial" w:cs="Arial"/>
          <w:bCs/>
        </w:rPr>
        <w:t xml:space="preserve"> and the 2.5 kb region upstream of exon 1 were amplified by PCR and sequenced using Sanger sequencing (Supplemental Materials, Primers and PCR conditions used for </w:t>
      </w:r>
      <w:r w:rsidRPr="00C71C49">
        <w:rPr>
          <w:rFonts w:ascii="Arial" w:hAnsi="Arial" w:cs="Arial"/>
          <w:bCs/>
          <w:i/>
          <w:iCs/>
        </w:rPr>
        <w:t>CHST6</w:t>
      </w:r>
      <w:r w:rsidRPr="00C71C49">
        <w:rPr>
          <w:rFonts w:ascii="Arial" w:hAnsi="Arial" w:cs="Arial"/>
          <w:bCs/>
        </w:rPr>
        <w:t xml:space="preserve"> screening) (Supplemental Table 1). Sequences were compared to the wild-type </w:t>
      </w:r>
      <w:r w:rsidRPr="00C71C49">
        <w:rPr>
          <w:rFonts w:ascii="Arial" w:hAnsi="Arial" w:cs="Arial"/>
          <w:bCs/>
          <w:i/>
          <w:iCs/>
        </w:rPr>
        <w:t>CHST6</w:t>
      </w:r>
      <w:r w:rsidRPr="00C71C49">
        <w:rPr>
          <w:rFonts w:ascii="Arial" w:hAnsi="Arial" w:cs="Arial"/>
          <w:bCs/>
        </w:rPr>
        <w:t xml:space="preserve"> gene transcript (NM_021615), and the minor allele frequencies (MAF) of identified variants were obtained from public databases including Exome Aggregation Consortium (ExAC), 1000 Genomes Project (1000Genome), Trans-Omics for Precision Medicine (TOPMED) and Genome Aggregation Database (gnomAD). A rare variant was defined as a variant with MAF &lt; 0.01 in all databases.</w:t>
      </w:r>
    </w:p>
    <w:p w14:paraId="36176D5D" w14:textId="27B742E9" w:rsidR="00717D06" w:rsidRPr="00C71C49" w:rsidRDefault="00C71C49" w:rsidP="00C71C49">
      <w:pPr>
        <w:pStyle w:val="Head2"/>
      </w:pPr>
      <w:r w:rsidRPr="00C71C49">
        <w:rPr>
          <w:rFonts w:ascii="Arial" w:hAnsi="Arial" w:cs="Arial"/>
          <w:bCs/>
          <w:iCs/>
        </w:rPr>
        <w:t>Whole Exome Sequencing (WES) and Data Analysis</w:t>
      </w:r>
    </w:p>
    <w:p w14:paraId="663208A1" w14:textId="00056010" w:rsidR="00F23C1E" w:rsidRPr="00C71C49" w:rsidRDefault="00C71C49" w:rsidP="00C71C49">
      <w:pPr>
        <w:pStyle w:val="Para"/>
      </w:pPr>
      <w:r w:rsidRPr="00C71C49">
        <w:rPr>
          <w:rFonts w:ascii="Arial" w:hAnsi="Arial" w:cs="Arial"/>
          <w:bCs/>
        </w:rPr>
        <w:t>WES was performed on the genomic DNA of all enrolled members from PMED families A, B, and C (Fig. 1). DNA libraries were prepared using the TruSeq DNA Sample Preparation Kit v2 (Illumina Inc.), and exome capture was performed with the SeqCap EZ Exome Library v3.0 (Roche NimbleGen, Inc.). Paired-end sequencing (2×150 bp) was carried out on Illumina’s HiSeq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Ensembl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sidRPr="00C71C49">
        <w:rPr>
          <w:rFonts w:ascii="Arial" w:hAnsi="Arial" w:cs="Arial"/>
          <w:bCs/>
          <w:iCs/>
        </w:rPr>
        <w:t>In silico variant prediction and scoring</w:t>
      </w:r>
    </w:p>
    <w:p w14:paraId="6006E6AB" w14:textId="0CD7DC59" w:rsidR="0041222F" w:rsidRPr="00C71C49" w:rsidRDefault="00C71C49" w:rsidP="00C71C49">
      <w:pPr>
        <w:pStyle w:val="Para"/>
      </w:pP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coding variants were analyzed using the online tools PredictSNP2 and PolyPhen-2 to assess their potential impact on protein function.</w:t>
      </w:r>
      <w:r w:rsidRPr="00C71C49">
        <w:rPr>
          <w:rFonts w:ascii="Arial" w:hAnsi="Arial" w:cs="Arial"/>
          <w:bCs/>
          <w:noProof/>
          <w:vertAlign w:val="superscript"/>
        </w:rPr>
        <w:t>3</w:t>
      </w:r>
      <w:r w:rsidRPr="00C71C49">
        <w:rPr>
          <w:rFonts w:ascii="Arial" w:hAnsi="Arial" w:cs="Arial"/>
          <w:bCs/>
          <w:vertAlign w:val="superscript"/>
        </w:rPr>
        <w:t>,</w:t>
      </w:r>
      <w:r w:rsidRPr="00C71C49">
        <w:rPr>
          <w:rFonts w:ascii="Arial" w:hAnsi="Arial" w:cs="Arial"/>
          <w:bCs/>
          <w:noProof/>
          <w:vertAlign w:val="superscript"/>
        </w:rPr>
        <w:t>4</w:t>
      </w:r>
      <w:r w:rsidRPr="00C71C49">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r w:rsidRPr="00C71C49">
        <w:rPr>
          <w:rFonts w:ascii="Arial" w:hAnsi="Arial" w:cs="Arial"/>
          <w:bCs/>
          <w:noProof/>
          <w:vertAlign w:val="superscript"/>
        </w:rPr>
        <w:t>3</w:t>
      </w:r>
      <w:r w:rsidRPr="00C71C49">
        <w:rPr>
          <w:rFonts w:ascii="Arial" w:hAnsi="Arial" w:cs="Arial"/>
        </w:rPr>
        <w:t xml:space="preserve"> </w:t>
      </w: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promoter variants were analyzed using the online tool RegulomeDB to determine the likelihood of each variant being in a regulatory region bound by subunits of transcriptional machinery and/or transcriptional factors.</w:t>
      </w:r>
      <w:r w:rsidRPr="00C71C49">
        <w:rPr>
          <w:rFonts w:ascii="Arial" w:hAnsi="Arial" w:cs="Arial"/>
          <w:bCs/>
          <w:noProof/>
          <w:vertAlign w:val="superscript"/>
        </w:rPr>
        <w:t>5</w:t>
      </w:r>
      <w:r w:rsidRPr="00C71C49">
        <w:rPr>
          <w:rFonts w:ascii="Arial" w:hAnsi="Arial" w:cs="Arial"/>
          <w:bCs/>
        </w:rPr>
        <w:t xml:space="preserve"> The RegulomeDB score represents a model that integrates </w:t>
      </w:r>
      <w:r w:rsidRPr="00C71C49">
        <w:rPr>
          <w:rFonts w:ascii="Arial" w:hAnsi="Arial" w:cs="Arial"/>
          <w:bCs/>
        </w:rPr>
        <w:lastRenderedPageBreak/>
        <w:t>functional genomics features, including continuous values from multiple databases such as chromatin immunoprecipitation sequencing (ChIP-seq) signal and DNase-seq signal from The Encyclopedia of DNA Elements (ENCODE), information content change, and predicted scores from the deep learning sequence-based algorithmic program DeepSEA.</w:t>
      </w:r>
      <w:r w:rsidRPr="00C71C49">
        <w:rPr>
          <w:rFonts w:ascii="Arial" w:hAnsi="Arial" w:cs="Arial"/>
          <w:bCs/>
          <w:noProof/>
          <w:vertAlign w:val="superscript"/>
        </w:rPr>
        <w:t>6</w:t>
      </w:r>
      <w:r w:rsidRPr="00C71C49">
        <w:rPr>
          <w:rFonts w:ascii="Arial" w:hAnsi="Arial" w:cs="Arial"/>
          <w:bCs/>
          <w:vertAlign w:val="superscript"/>
        </w:rPr>
        <w:t>,</w:t>
      </w:r>
      <w:r w:rsidRPr="00C71C49">
        <w:rPr>
          <w:rFonts w:ascii="Arial" w:hAnsi="Arial" w:cs="Arial"/>
          <w:bCs/>
          <w:noProof/>
          <w:vertAlign w:val="superscript"/>
        </w:rPr>
        <w:t>7</w:t>
      </w:r>
    </w:p>
    <w:p w14:paraId="18F6C7FC" w14:textId="73516F9B" w:rsidR="0041222F" w:rsidRPr="0025612C" w:rsidRDefault="0025612C" w:rsidP="0025612C">
      <w:pPr>
        <w:pStyle w:val="Head2"/>
      </w:pPr>
      <w:r w:rsidRPr="0025612C">
        <w:rPr>
          <w:rFonts w:ascii="Arial" w:hAnsi="Arial" w:cs="Arial"/>
          <w:bCs/>
          <w:iCs/>
        </w:rPr>
        <w:t>In vitro CHST6 functional assay</w:t>
      </w:r>
    </w:p>
    <w:p w14:paraId="07F5B2C9" w14:textId="3A347D43" w:rsidR="00FE50C9" w:rsidRPr="0025612C" w:rsidRDefault="0025612C" w:rsidP="0025612C">
      <w:pPr>
        <w:pStyle w:val="Para"/>
      </w:pPr>
      <w:r w:rsidRPr="0025612C">
        <w:rPr>
          <w:rFonts w:ascii="Arial" w:hAnsi="Arial" w:cs="Arial"/>
          <w:bCs/>
        </w:rPr>
        <w:t xml:space="preserve">For the functional assay, we generated a </w:t>
      </w:r>
      <w:r w:rsidRPr="0025612C">
        <w:rPr>
          <w:rFonts w:ascii="Arial" w:hAnsi="Arial" w:cs="Arial"/>
          <w:bCs/>
          <w:i/>
        </w:rPr>
        <w:t>CHST6</w:t>
      </w:r>
      <w:r w:rsidRPr="0025612C">
        <w:rPr>
          <w:rFonts w:ascii="Arial" w:hAnsi="Arial" w:cs="Arial"/>
          <w:bCs/>
        </w:rPr>
        <w:t xml:space="preserve"> expression vector containing the native promoter of </w:t>
      </w:r>
      <w:r w:rsidRPr="0025612C">
        <w:rPr>
          <w:rFonts w:ascii="Arial" w:hAnsi="Arial" w:cs="Arial"/>
          <w:bCs/>
          <w:i/>
        </w:rPr>
        <w:t>CHST6</w:t>
      </w:r>
      <w:r w:rsidRPr="0025612C">
        <w:rPr>
          <w:rFonts w:ascii="Arial" w:hAnsi="Arial" w:cs="Arial"/>
          <w:bCs/>
        </w:rPr>
        <w:t xml:space="preserve">. Briefly, a 1439 bp fragment encompassing exon 1 of the </w:t>
      </w:r>
      <w:r w:rsidRPr="0025612C">
        <w:rPr>
          <w:rFonts w:ascii="Arial" w:hAnsi="Arial" w:cs="Arial"/>
          <w:bCs/>
          <w:i/>
          <w:iCs/>
        </w:rPr>
        <w:t xml:space="preserve">CHST6 </w:t>
      </w:r>
      <w:r w:rsidRPr="0025612C">
        <w:rPr>
          <w:rFonts w:ascii="Arial" w:hAnsi="Arial" w:cs="Arial"/>
          <w:bCs/>
        </w:rPr>
        <w:t xml:space="preserve">gene, the predicted </w:t>
      </w:r>
      <w:r w:rsidRPr="0025612C">
        <w:rPr>
          <w:rFonts w:ascii="Arial" w:hAnsi="Arial" w:cs="Arial"/>
          <w:bCs/>
          <w:i/>
          <w:iCs/>
        </w:rPr>
        <w:t>CHST6</w:t>
      </w:r>
      <w:r w:rsidRPr="0025612C">
        <w:rPr>
          <w:rFonts w:ascii="Arial" w:hAnsi="Arial" w:cs="Arial"/>
          <w:bCs/>
        </w:rPr>
        <w:t xml:space="preserve"> promoter and two adjacent enhancers (identified based on ENCODE registry of candidate cis-regulatory elements (cCREs)), was cloned into the previously described CHST6 expression vector pcDNA3-CGn6ST.</w:t>
      </w:r>
      <w:r w:rsidRPr="0025612C">
        <w:rPr>
          <w:rFonts w:ascii="Arial" w:hAnsi="Arial" w:cs="Arial"/>
          <w:bCs/>
          <w:noProof/>
          <w:vertAlign w:val="superscript"/>
        </w:rPr>
        <w:t>8</w:t>
      </w:r>
      <w:r w:rsidRPr="0025612C">
        <w:rPr>
          <w:rFonts w:ascii="Arial" w:hAnsi="Arial" w:cs="Arial"/>
          <w:bCs/>
          <w:vertAlign w:val="superscript"/>
        </w:rPr>
        <w:t>,</w:t>
      </w:r>
      <w:r w:rsidRPr="0025612C">
        <w:rPr>
          <w:rFonts w:ascii="Arial" w:hAnsi="Arial" w:cs="Arial"/>
          <w:bCs/>
          <w:noProof/>
          <w:vertAlign w:val="superscript"/>
        </w:rPr>
        <w:t>9</w:t>
      </w:r>
      <w:r w:rsidRPr="0025612C">
        <w:rPr>
          <w:rFonts w:ascii="Arial" w:hAnsi="Arial" w:cs="Arial"/>
          <w:bCs/>
        </w:rPr>
        <w:t xml:space="preserve"> The cloning replaced the sequences of CMV enhancer-containing promoter and T7 promoter. The pcDNA3-CGn6ST vector contains the nucleotide sequences of exons 2 and 3 of the </w:t>
      </w:r>
      <w:r w:rsidRPr="0025612C">
        <w:rPr>
          <w:rFonts w:ascii="Arial" w:hAnsi="Arial" w:cs="Arial"/>
          <w:bCs/>
          <w:i/>
          <w:iCs/>
        </w:rPr>
        <w:t>CHST6</w:t>
      </w:r>
      <w:r w:rsidRPr="0025612C">
        <w:rPr>
          <w:rFonts w:ascii="Arial" w:hAnsi="Arial" w:cs="Arial"/>
          <w:bCs/>
        </w:rPr>
        <w:t xml:space="preserve"> gene. The newly cloned </w:t>
      </w:r>
      <w:r w:rsidRPr="0025612C">
        <w:rPr>
          <w:rFonts w:ascii="Arial" w:hAnsi="Arial" w:cs="Arial"/>
          <w:bCs/>
          <w:i/>
          <w:iCs/>
        </w:rPr>
        <w:t>CHST6</w:t>
      </w:r>
      <w:r w:rsidRPr="0025612C">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sidRPr="0025612C">
        <w:rPr>
          <w:rFonts w:ascii="Arial" w:hAnsi="Arial" w:cs="Arial"/>
          <w:bCs/>
          <w:i/>
          <w:iCs/>
        </w:rPr>
        <w:t>CHST6</w:t>
      </w:r>
      <w:r w:rsidRPr="0025612C">
        <w:rPr>
          <w:rFonts w:ascii="Arial" w:hAnsi="Arial" w:cs="Arial"/>
          <w:bCs/>
        </w:rPr>
        <w:t xml:space="preserve"> gene. Site-directed mutagenesis was then performed on pcDNA3-CGn6STwPro, also denoted as CGn6STwPro_WT, to generate nucleotide changes consistent with the mutations found in PMED pedigrees (QuikChange Lightning Site-Directed Mutagenesis Kit, Agilent Technologies). The following three single mutant constructs were created: CGn6STwPro_c.-690G&gt;C, CGn6STwPro_Y268C (nucleotide change c.803A&gt;G), and CGn6STwPro_P280L (nucleotide change c.839C&gt;T). Additionally, exon 1 of the </w:t>
      </w:r>
      <w:r w:rsidRPr="0025612C">
        <w:rPr>
          <w:rFonts w:ascii="Arial" w:hAnsi="Arial" w:cs="Arial"/>
          <w:bCs/>
          <w:i/>
          <w:iCs/>
        </w:rPr>
        <w:t xml:space="preserve">CHST6 </w:t>
      </w:r>
      <w:r w:rsidRPr="0025612C">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(Laragen, Inc., Culver City, CA).</w:t>
      </w:r>
    </w:p>
    <w:p w14:paraId="4A1FEB5A" w14:textId="4A4F26F9" w:rsidR="00FE50C9" w:rsidRPr="0025612C" w:rsidRDefault="0025612C" w:rsidP="0025612C">
      <w:pPr>
        <w:pStyle w:val="Para"/>
      </w:pPr>
      <w:r w:rsidRPr="0025612C">
        <w:rPr>
          <w:rFonts w:ascii="Arial" w:hAnsi="Arial" w:cs="Arial"/>
          <w:bCs/>
        </w:rPr>
        <w:t xml:space="preserve">To investigate the functional impact of the identified </w:t>
      </w:r>
      <w:r w:rsidRPr="0025612C">
        <w:rPr>
          <w:rFonts w:ascii="Arial" w:hAnsi="Arial" w:cs="Arial"/>
          <w:bCs/>
          <w:i/>
          <w:iCs/>
        </w:rPr>
        <w:t>CHST6</w:t>
      </w:r>
      <w:r w:rsidRPr="0025612C">
        <w:rPr>
          <w:rFonts w:ascii="Arial" w:hAnsi="Arial" w:cs="Arial"/>
          <w:bCs/>
        </w:rPr>
        <w:t xml:space="preserve"> mutations in human corneal endothelial cells and keratocytes, telomerase immortalized human corneal endothelial cells (HCEnC) and keratocytes (HK) were transfected with </w:t>
      </w:r>
      <w:r w:rsidRPr="0025612C">
        <w:rPr>
          <w:rFonts w:ascii="Arial" w:hAnsi="Arial" w:cs="Arial"/>
          <w:bCs/>
          <w:iCs/>
        </w:rPr>
        <w:t xml:space="preserve">wild-type and/or </w:t>
      </w:r>
      <w:r w:rsidRPr="0025612C">
        <w:rPr>
          <w:rFonts w:ascii="Arial" w:hAnsi="Arial" w:cs="Arial"/>
          <w:bCs/>
        </w:rPr>
        <w:t xml:space="preserve">mutant </w:t>
      </w:r>
      <w:r w:rsidRPr="0025612C">
        <w:rPr>
          <w:rFonts w:ascii="Arial" w:hAnsi="Arial" w:cs="Arial"/>
          <w:bCs/>
          <w:iCs/>
        </w:rPr>
        <w:t>CHST6 promoter-containing expressing vectors (</w:t>
      </w:r>
      <w:r w:rsidRPr="0025612C">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sidRPr="0025612C">
        <w:rPr>
          <w:rFonts w:ascii="Arial" w:hAnsi="Arial" w:cs="Arial"/>
          <w:bCs/>
        </w:rPr>
        <w:t>Human corneal keratocyte cell culture).</w:t>
      </w:r>
      <w:r w:rsidRPr="0025612C">
        <w:rPr>
          <w:rFonts w:ascii="Arial" w:hAnsi="Arial" w:cs="Arial"/>
          <w:bCs/>
          <w:noProof/>
          <w:vertAlign w:val="superscript"/>
        </w:rPr>
        <w:t>10</w:t>
      </w:r>
      <w:r w:rsidRPr="0025612C">
        <w:rPr>
          <w:rFonts w:ascii="Arial" w:hAnsi="Arial" w:cs="Arial"/>
          <w:bCs/>
          <w:vertAlign w:val="superscript"/>
        </w:rPr>
        <w:t>,</w:t>
      </w:r>
      <w:r w:rsidRPr="0025612C">
        <w:rPr>
          <w:rFonts w:ascii="Arial" w:hAnsi="Arial" w:cs="Arial"/>
          <w:bCs/>
          <w:noProof/>
          <w:vertAlign w:val="superscript"/>
        </w:rPr>
        <w:t>11</w:t>
      </w:r>
      <w:r w:rsidRPr="0025612C">
        <w:rPr>
          <w:rFonts w:ascii="Arial" w:hAnsi="Arial" w:cs="Arial"/>
          <w:bCs/>
        </w:rPr>
        <w:t xml:space="preserve"> To enhance the detection of sulfated KS, HCEnC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sidRPr="0025612C">
        <w:rPr>
          <w:rFonts w:ascii="Arial" w:hAnsi="Arial" w:cs="Arial"/>
          <w:bCs/>
          <w:i/>
          <w:iCs/>
        </w:rPr>
        <w:t>CHST6</w:t>
      </w:r>
      <w:r w:rsidRPr="0025612C">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sidRPr="0025612C">
        <w:rPr>
          <w:rFonts w:ascii="Arial" w:hAnsi="Arial" w:cs="Arial"/>
          <w:bCs/>
          <w:iCs/>
        </w:rPr>
        <w:t xml:space="preserve">The following combination of CGn6STwPro constructs were used to mimic the </w:t>
      </w:r>
      <w:r w:rsidRPr="0025612C">
        <w:rPr>
          <w:rFonts w:ascii="Arial" w:hAnsi="Arial" w:cs="Arial"/>
          <w:bCs/>
          <w:i/>
        </w:rPr>
        <w:t>CHST6</w:t>
      </w:r>
      <w:r w:rsidRPr="0025612C">
        <w:rPr>
          <w:rFonts w:ascii="Arial" w:hAnsi="Arial" w:cs="Arial"/>
          <w:bCs/>
          <w:iCs/>
        </w:rPr>
        <w:t xml:space="preserve"> mutation status observed in individuals reported here: 1) WT/WT, representing the healthy control without </w:t>
      </w:r>
      <w:r w:rsidRPr="0025612C">
        <w:rPr>
          <w:rFonts w:ascii="Arial" w:hAnsi="Arial" w:cs="Arial"/>
          <w:bCs/>
          <w:i/>
          <w:iCs/>
        </w:rPr>
        <w:t>CHST6</w:t>
      </w:r>
      <w:r w:rsidRPr="0025612C">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sidRPr="0025612C">
        <w:rPr>
          <w:rFonts w:ascii="Arial" w:hAnsi="Arial" w:cs="Arial"/>
          <w:bCs/>
        </w:rPr>
        <w:t>CGn6STwPro_c.-690G&gt;C)</w:t>
      </w:r>
      <w:r w:rsidRPr="0025612C">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sidRPr="0025612C">
        <w:rPr>
          <w:rFonts w:ascii="Arial" w:hAnsi="Arial" w:cs="Arial"/>
          <w:bCs/>
        </w:rPr>
        <w:t>CGn6STwPro_P280L)</w:t>
      </w:r>
      <w:r w:rsidRPr="0025612C">
        <w:rPr>
          <w:rFonts w:ascii="Arial" w:hAnsi="Arial" w:cs="Arial"/>
          <w:bCs/>
          <w:iCs/>
        </w:rPr>
        <w:t>, assessing the impact of homozygous variant P280L; and 10) Y268C/Y268C (</w:t>
      </w:r>
      <w:r w:rsidRPr="0025612C">
        <w:rPr>
          <w:rFonts w:ascii="Arial" w:hAnsi="Arial" w:cs="Arial"/>
          <w:bCs/>
        </w:rPr>
        <w:t>CGn6STwPro_Y268C)</w:t>
      </w:r>
      <w:r w:rsidRPr="0025612C">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sidRPr="0025612C">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sidRPr="0025612C">
        <w:rPr>
          <w:rFonts w:ascii="Arial" w:hAnsi="Arial" w:cs="Arial"/>
          <w:bCs/>
        </w:rPr>
        <w:t>(Simple Western assay Wes, ProteinSimple). Highly sulfated KS, b3GnT7 protein and GAPDH were detected using 5D4, anti-B3GNT7 (NBP1-69637, Novus Biological) and anti-GAPDH (MAB374, Millipore Sigma) antibodies, respectively. Quantification and data analysis were performed using the Compass for Simple Western software (ProteinSimple).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sidRPr="0025612C">
        <w:rPr>
          <w:rFonts w:ascii="Arial" w:hAnsi="Arial" w:cs="Arial"/>
          <w:bCs/>
          <w:iCs/>
        </w:rPr>
        <w:t>Histology and Immunofluorescence Staining</w:t>
      </w:r>
    </w:p>
    <w:p w14:paraId="5621C378" w14:textId="71483E54" w:rsidR="009D6375" w:rsidRPr="0025612C" w:rsidRDefault="0025612C" w:rsidP="0025612C">
      <w:pPr>
        <w:pStyle w:val="Para"/>
      </w:pPr>
      <w:r w:rsidRPr="0025612C">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sidRPr="0025612C">
        <w:rPr>
          <w:rFonts w:ascii="Arial" w:hAnsi="Arial" w:cs="Arial"/>
          <w:bCs/>
        </w:rPr>
        <w:t>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diamine stained sections were imaged with a KEYENCE BZ-X700 all-in-one fluorescence microscope.</w:t>
      </w:r>
    </w:p>
    <w:p w14:paraId="6B1BB7AE" w14:textId="465861DE" w:rsidR="00D34B58" w:rsidRPr="0025612C" w:rsidRDefault="0025612C" w:rsidP="0025612C">
      <w:pPr>
        <w:pStyle w:val="Para"/>
      </w:pPr>
      <w:r w:rsidRPr="0025612C">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sidRPr="0025612C">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sidRPr="0025612C">
        <w:rPr>
          <w:rFonts w:ascii="Arial" w:hAnsi="Arial" w:cs="Arial"/>
          <w:bCs/>
          <w:iCs/>
        </w:rPr>
        <w:t>Sulfated Glycosaminoglycan Measurement in Serum and/or Dried Blood Spots</w:t>
      </w:r>
    </w:p>
    <w:p w14:paraId="7F6E1953" w14:textId="057FAE38" w:rsidR="00FE50C9" w:rsidRPr="0025612C" w:rsidRDefault="0025612C" w:rsidP="0025612C">
      <w:pPr>
        <w:pStyle w:val="Para"/>
      </w:pPr>
      <w:r w:rsidRPr="0025612C">
        <w:rPr>
          <w:rFonts w:ascii="Arial" w:hAnsi="Arial" w:cs="Arial"/>
          <w:bCs/>
        </w:rPr>
        <w:t>The sulfation levels of serum GAG, including dermatan sulfate (DS), heparan sulfate (HS),</w:t>
      </w:r>
      <w:r w:rsidRPr="0025612C">
        <w:rPr>
          <w:rFonts w:ascii="Arial" w:hAnsi="Arial" w:cs="Arial"/>
        </w:rPr>
        <w:t xml:space="preserve"> </w:t>
      </w:r>
      <w:r w:rsidRPr="0025612C">
        <w:rPr>
          <w:rFonts w:ascii="Arial" w:hAnsi="Arial" w:cs="Arial"/>
          <w:bCs/>
        </w:rPr>
        <w:t>and KS, were measured by liquid chromatography with tandem mass spectrometry (LC-MS/MS) as previously described and the results were compared with age-matched controls.</w:t>
      </w:r>
      <w:r w:rsidRPr="0025612C">
        <w:rPr>
          <w:rFonts w:ascii="Arial" w:hAnsi="Arial" w:cs="Arial"/>
          <w:bCs/>
          <w:noProof/>
          <w:vertAlign w:val="superscript"/>
        </w:rPr>
        <w:t>12,13</w:t>
      </w:r>
      <w:r w:rsidRPr="0025612C">
        <w:rPr>
          <w:rFonts w:ascii="Arial" w:hAnsi="Arial" w:cs="Arial"/>
          <w:bCs/>
        </w:rPr>
        <w:t xml:space="preserve"> Serum samples were collected from 17 individuals and dried blot spots (DBS) were collected from 10 individuals from the seven families (Fig. 1).</w:t>
      </w:r>
    </w:p>
    <w:p w14:paraId="02EDAB00" w14:textId="339F2C4C" w:rsidR="007D3B07" w:rsidRPr="0025612C" w:rsidRDefault="0025612C" w:rsidP="0025612C">
      <w:pPr>
        <w:pStyle w:val="Head2"/>
      </w:pPr>
      <w:r w:rsidRPr="0025612C">
        <w:rPr>
          <w:rFonts w:ascii="Arial" w:hAnsi="Arial" w:cs="Arial"/>
          <w:bCs/>
          <w:iCs/>
        </w:rPr>
        <w:t>Calculation of Odds of Pathogenicity (Odds Path) for Identified Variants</w:t>
      </w:r>
    </w:p>
    <w:p w14:paraId="352419B9" w14:textId="5B9DA81E" w:rsidR="00FE50C9" w:rsidRPr="0025612C" w:rsidRDefault="0025612C" w:rsidP="0025612C">
      <w:pPr>
        <w:pStyle w:val="Para"/>
      </w:pPr>
      <w:r w:rsidRPr="0025612C">
        <w:rPr>
          <w:rFonts w:ascii="Arial" w:hAnsi="Arial" w:cs="Arial"/>
          <w:bCs/>
          <w:iCs/>
        </w:rPr>
        <w:t xml:space="preserve">The number of criteria met for each identified </w:t>
      </w:r>
      <w:r w:rsidRPr="0025612C">
        <w:rPr>
          <w:rFonts w:ascii="Arial" w:hAnsi="Arial" w:cs="Arial"/>
          <w:bCs/>
          <w:i/>
        </w:rPr>
        <w:t>CHST6</w:t>
      </w:r>
      <w:r w:rsidRPr="0025612C">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r w:rsidRPr="0025612C">
        <w:rPr>
          <w:rFonts w:ascii="Arial" w:hAnsi="Arial" w:cs="Arial"/>
          <w:bCs/>
          <w:i/>
          <w:iCs/>
        </w:rPr>
        <w:t>OddsPath</w:t>
      </w:r>
      <w:r w:rsidRPr="0025612C">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r w:rsidRPr="0025612C">
        <w:rPr>
          <w:rFonts w:ascii="Arial" w:hAnsi="Arial" w:cs="Arial"/>
          <w:bCs/>
          <w:iCs/>
          <w:noProof/>
          <w:vertAlign w:val="superscript"/>
        </w:rPr>
        <w:t>14</w:t>
      </w:r>
      <w:r w:rsidRPr="0025612C">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Pr="0025612C">
        <w:rPr>
          <w:rFonts w:ascii="Arial" w:hAnsi="Arial" w:cs="Arial"/>
          <w:bCs/>
          <w:iCs/>
        </w:rPr>
        <w:t>, in which prior probability (</w:t>
      </w:r>
      <w:r w:rsidRPr="0025612C">
        <w:rPr>
          <w:rFonts w:ascii="Arial" w:hAnsi="Arial" w:cs="Arial"/>
          <w:bCs/>
          <w:i/>
          <w:iCs/>
        </w:rPr>
        <w:t>Prior_P</w:t>
      </w:r>
      <w:r w:rsidRPr="0025612C">
        <w:rPr>
          <w:rFonts w:ascii="Arial" w:hAnsi="Arial" w:cs="Arial"/>
          <w:bCs/>
          <w:iCs/>
        </w:rPr>
        <w:t xml:space="preserve">) by default is 0.1. </w:t>
      </w:r>
      <w:r w:rsidRPr="0025612C">
        <w:rPr>
          <w:rFonts w:ascii="Arial" w:hAnsi="Arial" w:cs="Arial"/>
          <w:bCs/>
          <w:i/>
        </w:rPr>
        <w:t>Post_P</w:t>
      </w:r>
      <w:r w:rsidRPr="0025612C">
        <w:rPr>
          <w:rFonts w:ascii="Arial" w:hAnsi="Arial" w:cs="Arial"/>
          <w:bCs/>
          <w:iCs/>
        </w:rPr>
        <w:t xml:space="preserve"> was then assigned a variant classification as follows: benign &lt; 0.001; 0.001 ≤ likely benign &lt; 0.1; 0.1 ≤ Variant of Uncertain Significance (VUS) &lt; 0.90; 0.90 ≤ likely pathogenic &lt; 0.99; 0.99 ≤ pathogenic.</w:t>
      </w:r>
      <w:r w:rsidRPr="0025612C">
        <w:rPr>
          <w:rFonts w:ascii="Arial" w:hAnsi="Arial" w:cs="Arial"/>
          <w:bCs/>
          <w:iCs/>
          <w:noProof/>
          <w:vertAlign w:val="superscript"/>
        </w:rPr>
        <w:t>15</w:t>
      </w:r>
      <w:r w:rsidRPr="0025612C">
        <w:rPr>
          <w:rFonts w:ascii="Arial" w:hAnsi="Arial" w:cs="Arial"/>
          <w:bCs/>
          <w:iCs/>
        </w:rPr>
        <w:t xml:space="preserve"> </w:t>
      </w:r>
      <w:r w:rsidRPr="0025612C">
        <w:rPr>
          <w:rFonts w:ascii="Arial" w:eastAsiaTheme="minorEastAsia" w:hAnsi="Arial" w:cs="Arial"/>
          <w:iCs/>
        </w:rPr>
        <w:t>OddsPath cut-off scores for Supporting, Moderate, Strong, and Very Strong pathogenic evidence were obtained from published guidelines.</w:t>
      </w:r>
      <w:r w:rsidRPr="0025612C">
        <w:rPr>
          <w:rFonts w:ascii="Arial" w:eastAsiaTheme="minorEastAsia" w:hAnsi="Arial" w:cs="Arial"/>
          <w:iCs/>
          <w:noProof/>
          <w:vertAlign w:val="superscript"/>
        </w:rPr>
        <w:t>16</w:t>
      </w:r>
    </w:p>
    <w:p w14:paraId="1406A090" w14:textId="46472A42" w:rsidR="004C52FA" w:rsidRPr="0025612C" w:rsidRDefault="0025612C" w:rsidP="0025612C">
      <w:pPr>
        <w:pStyle w:val="Head1"/>
      </w:pPr>
      <w:r w:rsidRPr="0025612C">
        <w:rPr>
          <w:rFonts w:ascii="Arial" w:hAnsi="Arial" w:cs="Arial"/>
        </w:rPr>
        <w:t>RESULTS</w:t>
      </w:r>
    </w:p>
    <w:p w14:paraId="0965AE9A" w14:textId="742A3159" w:rsidR="004C52FA" w:rsidRPr="0025612C" w:rsidRDefault="0025612C" w:rsidP="0025612C">
      <w:pPr>
        <w:pStyle w:val="Head2"/>
      </w:pPr>
      <w:r w:rsidRPr="0025612C">
        <w:rPr>
          <w:rFonts w:ascii="Arial" w:hAnsi="Arial" w:cs="Arial"/>
        </w:rPr>
        <w:t>Clinical Features</w:t>
      </w:r>
    </w:p>
    <w:p w14:paraId="71CA2F83" w14:textId="4C6548D8" w:rsidR="003C4450" w:rsidRPr="0025612C" w:rsidRDefault="0025612C" w:rsidP="0025612C">
      <w:pPr>
        <w:pStyle w:val="Head3"/>
      </w:pPr>
      <w:r w:rsidRPr="0025612C">
        <w:rPr>
          <w:rFonts w:ascii="Arial" w:hAnsi="Arial" w:cs="Arial"/>
          <w:bCs/>
          <w:iCs/>
        </w:rPr>
        <w:t>Family A</w:t>
      </w:r>
    </w:p>
    <w:p w14:paraId="15E9F25B" w14:textId="04E80691" w:rsidR="00677188" w:rsidRPr="0025612C" w:rsidRDefault="0025612C" w:rsidP="0025612C">
      <w:pPr>
        <w:pStyle w:val="Para"/>
      </w:pPr>
      <w:r w:rsidRPr="0025612C">
        <w:rPr>
          <w:rFonts w:ascii="Arial" w:hAnsi="Arial" w:cs="Arial"/>
          <w:bCs/>
        </w:rPr>
        <w:t>A 47-year-old Thai woman (Fig. 1. A. II-2) with an unremarkable past medical history presented with progressive decrease in vision in both eyes. Corrected visual acuities (CVA) measured 20/40 OD and 20/50 OS. Slit lamp biomicroscopy and AS-OCT revealed inferior paracentral corneal subepithelial fibrosis, underlying stromal edema and multiple discrete gray peripheral opacities at the level of DM, predominantly located in the superior and inferior peripheral cornea (Fig. 2A, Supplemental Fig. 1A). Central corneal pachymetry measured 626 µm OD and 604 µm OS. A combined Descemet membrane endothelial keratoplasty (DMEK), cataract extraction was performed in each eye with restoration of stromal clarity other than for residual inferior paracentral subepithelial scarring (Fig. 2B). Slit lamp examination of other family members revealed similar appearing discrete gray opacities only in the proband’s 73-year-old mother, whose CVA measured 20/70 OU (Fig. 1. A. I-2). As the opacities in proband’s mother were confined to the inferior peripheral cornea in each eye, were significantly fewer in number, and were not associated with corneal edema (Fig. 2C), her decreased corrected visual acuity was attributed to bilateral severe nuclear sclerosis. The other examined family members, including the proband’s father (Fig. 1. A. I-1), older sister (Fig. 1. A. II-1), and daughter (Fig. 1. A. III-1), demonstrated clear corneas.</w:t>
      </w:r>
    </w:p>
    <w:p w14:paraId="6203B9EB" w14:textId="6D662F58" w:rsidR="003C4450" w:rsidRPr="0025612C" w:rsidRDefault="0025612C" w:rsidP="0025612C">
      <w:pPr>
        <w:pStyle w:val="Head3"/>
      </w:pPr>
      <w:r w:rsidRPr="0025612C">
        <w:rPr>
          <w:rFonts w:ascii="Arial" w:hAnsi="Arial" w:cs="Arial"/>
          <w:bCs/>
          <w:iCs/>
        </w:rPr>
        <w:t>Family B</w:t>
      </w:r>
    </w:p>
    <w:p w14:paraId="03C4190C" w14:textId="5C7B78C5" w:rsidR="00FE50C9" w:rsidRPr="0025612C" w:rsidRDefault="0025612C" w:rsidP="0025612C">
      <w:pPr>
        <w:pStyle w:val="Para"/>
      </w:pPr>
      <w:r w:rsidRPr="0025612C">
        <w:rPr>
          <w:rFonts w:ascii="Arial" w:hAnsi="Arial" w:cs="Arial"/>
          <w:bCs/>
        </w:rPr>
        <w:t>A 49-year-old Vietnamese woman (Fig. 1. B. II-1) with an unremarkable past medical history presented with glare, halo, and foreign body sensation in both eyes (OD &gt; OS) that was worse in the morning. Slit lamp biomicroscopy revealed mild diffuse corneal stromal edema OD and trace stromal edema OS with multiple discrete grayish peripheral opacities at the level of DM in both eyes (Fig. 2D). The patient complained of progressive loss of vision thereafter for 6 months as CVA declined from 20/100 to counting finger (CF) at 2 meters OD and from 20/20 to 20/25 OS. Slit lamp biomicroscopy revealed temporal microcystic epithelial and stromal edema extending to the central cornea in both eyes (Fig. 2E). Central corneal pachymetry measured by UBM was 620 µm OU. A combined Descemet stripping automated endothelial keratoplasty (DSAEK), cataract extraction was performed in the right eye, and the central cornea remained clear 2 years (Fig. 2F) and 4 years later with CVA of 20/25 and 20/30, respectively. The unoperated left eye developed progressive subepithelial scarring and stromal edema with CVA decreasing to CF at 3 meters.</w:t>
      </w:r>
    </w:p>
    <w:p w14:paraId="076D3E1A" w14:textId="63E983B5" w:rsidR="000A29A2" w:rsidRPr="0025612C" w:rsidRDefault="0025612C" w:rsidP="0025612C">
      <w:pPr>
        <w:pStyle w:val="Para"/>
      </w:pPr>
      <w:r w:rsidRPr="0025612C">
        <w:rPr>
          <w:rFonts w:ascii="Arial" w:hAnsi="Arial" w:cs="Arial"/>
          <w:bCs/>
        </w:rPr>
        <w:t>The parents of the proband (Fig. 1. B. I-1 and B. I-2), who are first cousins, were not available for examination. The proband’s younger brother (Fig. 1.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(Fig. 2G), with central and peripheral corneal pachymetry measuring 570 µm and 830-970 µm, respectively. Examination of the proband’s son (Fig. 1. B. III-1) revealed a clear cornea in each eye.</w:t>
      </w:r>
    </w:p>
    <w:p w14:paraId="73A02ABF" w14:textId="4C596CA2" w:rsidR="003C4450" w:rsidRPr="0025612C" w:rsidRDefault="0025612C" w:rsidP="0025612C">
      <w:pPr>
        <w:pStyle w:val="Head3"/>
      </w:pPr>
      <w:r w:rsidRPr="0025612C">
        <w:rPr>
          <w:rFonts w:ascii="Arial" w:hAnsi="Arial" w:cs="Arial"/>
          <w:bCs/>
          <w:iCs/>
        </w:rPr>
        <w:t>Family C</w:t>
      </w:r>
    </w:p>
    <w:p w14:paraId="7772D606" w14:textId="5B52E373" w:rsidR="00FE50C9" w:rsidRPr="0025612C" w:rsidRDefault="0025612C" w:rsidP="0025612C">
      <w:pPr>
        <w:pStyle w:val="Para"/>
      </w:pPr>
      <w:r w:rsidRPr="0025612C">
        <w:rPr>
          <w:rFonts w:ascii="Arial" w:hAnsi="Arial" w:cs="Arial"/>
          <w:bCs/>
          <w:iCs/>
        </w:rPr>
        <w:t>A 60-year-old Vietnamese man (</w:t>
      </w:r>
      <w:r w:rsidRPr="0025612C">
        <w:rPr>
          <w:rFonts w:ascii="Arial" w:hAnsi="Arial" w:cs="Arial"/>
          <w:bCs/>
        </w:rPr>
        <w:t xml:space="preserve">Fig. 1. </w:t>
      </w:r>
      <w:r w:rsidRPr="0025612C">
        <w:rPr>
          <w:rFonts w:ascii="Arial" w:hAnsi="Arial" w:cs="Arial"/>
          <w:bCs/>
          <w:iCs/>
        </w:rPr>
        <w:t xml:space="preserve">C. II-5) presented with decreased vision in the left eye. Slit lamp examination revealed fine peripheral gray-white opacities at the level of the DM and central guttae in the right eye, and fine central epithelial edema, moderate stromal edema and DM folds in the left eye (Fig. 2H). CVA measured 20/70 OD and CF at 1 meter OS, while central pachymetry measured 457 </w:t>
      </w:r>
      <w:r w:rsidRPr="0025612C">
        <w:rPr>
          <w:rFonts w:ascii="Arial" w:hAnsi="Arial" w:cs="Arial"/>
          <w:bCs/>
        </w:rPr>
        <w:t>µm</w:t>
      </w:r>
      <w:r w:rsidRPr="0025612C">
        <w:rPr>
          <w:rFonts w:ascii="Arial" w:hAnsi="Arial" w:cs="Arial"/>
          <w:bCs/>
          <w:iCs/>
        </w:rPr>
        <w:t xml:space="preserve"> OD and 602 </w:t>
      </w:r>
      <w:r w:rsidRPr="0025612C">
        <w:rPr>
          <w:rFonts w:ascii="Arial" w:hAnsi="Arial" w:cs="Arial"/>
          <w:bCs/>
        </w:rPr>
        <w:t>µm</w:t>
      </w:r>
      <w:r w:rsidRPr="0025612C">
        <w:rPr>
          <w:rFonts w:ascii="Arial" w:hAnsi="Arial" w:cs="Arial"/>
          <w:bCs/>
          <w:iCs/>
        </w:rPr>
        <w:t xml:space="preserve"> OS. A combined DMEK, cataract extraction was performed in the left eye, with the restoration of a clear cornea (Fig. 2I). Examination of the proband’s 72-year-old sister (</w:t>
      </w:r>
      <w:r w:rsidRPr="0025612C">
        <w:rPr>
          <w:rFonts w:ascii="Arial" w:hAnsi="Arial" w:cs="Arial"/>
          <w:bCs/>
        </w:rPr>
        <w:t xml:space="preserve">Fig. 1. </w:t>
      </w:r>
      <w:r w:rsidRPr="0025612C">
        <w:rPr>
          <w:rFonts w:ascii="Arial" w:hAnsi="Arial" w:cs="Arial"/>
          <w:bCs/>
          <w:iCs/>
        </w:rPr>
        <w:t xml:space="preserve">C. II-1) revealed similar appearing white macular deposits, more profound in size and number, primarily located in the superior and inferior posterior peripheral cornea in both eyes (Fig. 2J). Trace corneal stromal edema was present in both eyes with central corneal pachymetry measuring 551 </w:t>
      </w:r>
      <w:r w:rsidRPr="0025612C">
        <w:rPr>
          <w:rFonts w:ascii="Arial" w:hAnsi="Arial" w:cs="Arial"/>
          <w:bCs/>
        </w:rPr>
        <w:t>µm</w:t>
      </w:r>
      <w:r w:rsidRPr="0025612C">
        <w:rPr>
          <w:rFonts w:ascii="Arial" w:hAnsi="Arial" w:cs="Arial"/>
          <w:bCs/>
          <w:iCs/>
        </w:rPr>
        <w:t xml:space="preserve"> OD and 532 </w:t>
      </w:r>
      <w:r w:rsidRPr="0025612C">
        <w:rPr>
          <w:rFonts w:ascii="Arial" w:hAnsi="Arial" w:cs="Arial"/>
          <w:bCs/>
        </w:rPr>
        <w:t>µm</w:t>
      </w:r>
      <w:r w:rsidRPr="0025612C">
        <w:rPr>
          <w:rFonts w:ascii="Arial" w:hAnsi="Arial" w:cs="Arial"/>
          <w:bCs/>
          <w:iCs/>
        </w:rPr>
        <w:t xml:space="preserve"> OS. Eight other family members who were examined demonstrated clear corneas (</w:t>
      </w:r>
      <w:r w:rsidRPr="0025612C">
        <w:rPr>
          <w:rFonts w:ascii="Arial" w:hAnsi="Arial" w:cs="Arial"/>
          <w:bCs/>
        </w:rPr>
        <w:t xml:space="preserve">Fig. 1. </w:t>
      </w:r>
      <w:r w:rsidRPr="0025612C">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sidRPr="0025612C">
        <w:rPr>
          <w:rFonts w:ascii="Arial" w:hAnsi="Arial" w:cs="Arial"/>
          <w:bCs/>
          <w:iCs/>
        </w:rPr>
        <w:t>Family D</w:t>
      </w:r>
    </w:p>
    <w:p w14:paraId="3B2EECDE" w14:textId="149A3FCC" w:rsidR="00FE50C9" w:rsidRPr="0025612C" w:rsidRDefault="0025612C" w:rsidP="0025612C">
      <w:pPr>
        <w:pStyle w:val="Para"/>
      </w:pPr>
      <w:r w:rsidRPr="0025612C">
        <w:rPr>
          <w:rFonts w:ascii="Arial" w:hAnsi="Arial" w:cs="Arial"/>
          <w:bCs/>
        </w:rPr>
        <w:t xml:space="preserve">A 41-year-old Vietnamese man (Fig. 1. D. II-1) presented with blurred vision and foreign body sensation, worse in the morning, in both eyes (OS &gt; OD) for two years. Corrected visual acuity measured 20/25 OD and 20/50 OS. Slit lamp biomicroscopy revealed moderate diffuse stromal edema, 3+ endothelial guttae and peripheral grey-white discrete opacities at the level of the DM in both eyes (Fig. 3A). Central corneal pachymetry measured by Pentacam for the central 0-2 mm zone was 505 – 522 µm OD and 545 - 742 µm OS and AS-OCT revealed stromal edema and DM folds in the left eye (Fig. 3B). Examination of the proband’s 36-year-old brother (Fig. 1.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(Fig. 3C). Examination of the proband’s 31-year-old brother </w:t>
      </w:r>
      <w:r w:rsidRPr="0025612C">
        <w:rPr>
          <w:rFonts w:ascii="Arial" w:hAnsi="Arial" w:cs="Arial"/>
          <w:bCs/>
          <w:iCs/>
        </w:rPr>
        <w:t>(</w:t>
      </w:r>
      <w:r w:rsidRPr="0025612C">
        <w:rPr>
          <w:rFonts w:ascii="Arial" w:hAnsi="Arial" w:cs="Arial"/>
          <w:bCs/>
        </w:rPr>
        <w:t>Fig. 1. D. II-5) revealed a few discrete gray posterior stromal opacities bilaterally, located only in superior peripheral cornea, without corneal edema (Fig. 3D).</w:t>
      </w:r>
      <w:r w:rsidRPr="0025612C">
        <w:rPr>
          <w:rFonts w:ascii="Arial" w:hAnsi="Arial" w:cs="Arial"/>
          <w:bCs/>
          <w:iCs/>
        </w:rPr>
        <w:t xml:space="preserve"> Eight other family members who were examined demonstrated clear corneas (</w:t>
      </w:r>
      <w:r w:rsidRPr="0025612C">
        <w:rPr>
          <w:rFonts w:ascii="Arial" w:hAnsi="Arial" w:cs="Arial"/>
          <w:bCs/>
        </w:rPr>
        <w:t xml:space="preserve">Fig. 1. </w:t>
      </w:r>
      <w:r w:rsidRPr="0025612C">
        <w:rPr>
          <w:rFonts w:ascii="Arial" w:hAnsi="Arial" w:cs="Arial"/>
          <w:bCs/>
          <w:iCs/>
        </w:rPr>
        <w:t>D).</w:t>
      </w:r>
    </w:p>
    <w:p w14:paraId="7AA119DB" w14:textId="06F3C172" w:rsidR="002C28D7" w:rsidRPr="0025612C" w:rsidRDefault="0025612C" w:rsidP="0025612C">
      <w:pPr>
        <w:pStyle w:val="Head3"/>
      </w:pPr>
      <w:r w:rsidRPr="0025612C">
        <w:rPr>
          <w:rFonts w:ascii="Arial" w:hAnsi="Arial" w:cs="Arial"/>
          <w:bCs/>
          <w:iCs/>
        </w:rPr>
        <w:t>Family E</w:t>
      </w:r>
    </w:p>
    <w:p w14:paraId="23969108" w14:textId="0F4BBCC3" w:rsidR="002C28D7" w:rsidRPr="0025612C" w:rsidRDefault="0025612C" w:rsidP="0025612C">
      <w:pPr>
        <w:pStyle w:val="Para"/>
      </w:pPr>
      <w:r w:rsidRPr="0025612C">
        <w:rPr>
          <w:rFonts w:ascii="Arial" w:hAnsi="Arial" w:cs="Arial"/>
          <w:bCs/>
        </w:rPr>
        <w:t xml:space="preserve">A 54-year-old Vietnamese woman (Fig. 1. E. II-1) presented with a progressive decrease in vision and foreign body sensation in both eyes for four years. CVA measured CF at 0.2 meter OD and at 0.5 meter OS. </w:t>
      </w:r>
      <w:r w:rsidRPr="0025612C">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(Fig. 3E). AS-OCT imaging revealed corneal epithelial and stromal edema in both eyes, and central corneal thickness measured 685 – 696</w:t>
      </w:r>
      <w:r w:rsidRPr="0025612C">
        <w:rPr>
          <w:rFonts w:ascii="Arial" w:hAnsi="Arial" w:cs="Arial"/>
          <w:bCs/>
        </w:rPr>
        <w:t xml:space="preserve"> µm OD</w:t>
      </w:r>
      <w:r w:rsidRPr="0025612C">
        <w:rPr>
          <w:rFonts w:ascii="Arial" w:hAnsi="Arial" w:cs="Arial"/>
          <w:bCs/>
          <w:iCs/>
        </w:rPr>
        <w:t xml:space="preserve"> and </w:t>
      </w:r>
      <w:r w:rsidRPr="0025612C">
        <w:rPr>
          <w:rFonts w:ascii="Arial" w:hAnsi="Arial" w:cs="Arial"/>
          <w:bCs/>
        </w:rPr>
        <w:t>715 µm OS using AS-OCT (Supplemental Fig. 1B). The proband’s 42-year-old younger sister (Fig. 1. E. II-2) had CVA of CF at 0.2 meters OD and CF at 0.6 meters OS secondary to epithelial bullae, subepithelial fibrosis and stromal edema in both eyes (Fig. 3F). Central corneal pachymetry measured 851 µm OD and 836 µm OS using AS-OCT (Supplemental Fig. 1C).</w:t>
      </w:r>
    </w:p>
    <w:p w14:paraId="3B2BC20E" w14:textId="256DF4B4" w:rsidR="003C4450" w:rsidRPr="0025612C" w:rsidRDefault="0025612C" w:rsidP="0025612C">
      <w:pPr>
        <w:pStyle w:val="Head3"/>
      </w:pPr>
      <w:r w:rsidRPr="0025612C">
        <w:rPr>
          <w:rFonts w:ascii="Arial" w:hAnsi="Arial" w:cs="Arial"/>
          <w:bCs/>
          <w:iCs/>
        </w:rPr>
        <w:t>Family F</w:t>
      </w:r>
    </w:p>
    <w:p w14:paraId="03705EB3" w14:textId="0A292635" w:rsidR="00FE50C9" w:rsidRPr="0025612C" w:rsidRDefault="0025612C" w:rsidP="0025612C">
      <w:pPr>
        <w:pStyle w:val="Para"/>
      </w:pPr>
      <w:r w:rsidRPr="0025612C">
        <w:rPr>
          <w:rFonts w:ascii="Arial" w:hAnsi="Arial" w:cs="Arial"/>
          <w:bCs/>
        </w:rPr>
        <w:t>A 64-year-old Vietnamese man (Fig. 1. F. I-1) presented with a two-year history of declining vision in both eyes, with CVA decreasing from 20/40 to 20/100 in the right eye and from 20/100 to hand motion in the left eye. Slit lamp biomicroscopy revealed fine grey-white peripheral opacities at the level of the DM in both eyes (Fig. 3G).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(Fig. 3H).</w:t>
      </w:r>
    </w:p>
    <w:p w14:paraId="32BDF213" w14:textId="410D9A3B" w:rsidR="003C4450" w:rsidRPr="0025612C" w:rsidRDefault="0025612C" w:rsidP="0025612C">
      <w:pPr>
        <w:pStyle w:val="Head3"/>
      </w:pPr>
      <w:r w:rsidRPr="0025612C">
        <w:rPr>
          <w:rFonts w:ascii="Arial" w:hAnsi="Arial" w:cs="Arial"/>
          <w:bCs/>
          <w:iCs/>
        </w:rPr>
        <w:t>Family G</w:t>
      </w:r>
    </w:p>
    <w:p w14:paraId="1F1418A7" w14:textId="781D1B22" w:rsidR="00FE50C9" w:rsidRPr="0025612C" w:rsidRDefault="0025612C" w:rsidP="0025612C">
      <w:pPr>
        <w:pStyle w:val="Para"/>
      </w:pPr>
      <w:r w:rsidRPr="0025612C">
        <w:rPr>
          <w:rFonts w:ascii="Arial" w:hAnsi="Arial" w:cs="Arial"/>
          <w:bCs/>
        </w:rPr>
        <w:t>A 58-year-old Vietnamese man (Fig. 1.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(Fig. 3I).</w:t>
      </w:r>
    </w:p>
    <w:p w14:paraId="37D58C79" w14:textId="34D51B88" w:rsidR="00DC6E8B" w:rsidRPr="0025612C" w:rsidRDefault="0025612C" w:rsidP="0025612C">
      <w:pPr>
        <w:pStyle w:val="Head1"/>
      </w:pPr>
      <w:r w:rsidRPr="0025612C">
        <w:rPr>
          <w:rFonts w:ascii="Arial" w:hAnsi="Arial" w:cs="Arial"/>
        </w:rPr>
        <w:t>Genetic Analysis</w:t>
      </w:r>
    </w:p>
    <w:p w14:paraId="7ECD0C26" w14:textId="5109459E" w:rsidR="003C4450" w:rsidRPr="0025612C" w:rsidRDefault="0025612C" w:rsidP="0025612C">
      <w:pPr>
        <w:pStyle w:val="Para"/>
      </w:pPr>
      <w:r w:rsidRPr="0025612C">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59C9CE3A" w:rsidR="00FE50C9" w:rsidRPr="0025612C" w:rsidRDefault="0025612C" w:rsidP="0025612C">
      <w:pPr>
        <w:pStyle w:val="Para"/>
      </w:pPr>
      <w:r w:rsidRPr="0025612C">
        <w:rPr>
          <w:rFonts w:ascii="Arial" w:hAnsi="Arial" w:cs="Arial"/>
          <w:bCs/>
          <w:iCs/>
        </w:rPr>
        <w:t xml:space="preserve">The macular appearance of the peripheral opacities in affected individuals prompted screening of the coding and putative promoter regions of the </w:t>
      </w:r>
      <w:r w:rsidRPr="0025612C">
        <w:rPr>
          <w:rFonts w:ascii="Arial" w:hAnsi="Arial" w:cs="Arial"/>
          <w:bCs/>
          <w:i/>
          <w:iCs/>
        </w:rPr>
        <w:t>CHST6</w:t>
      </w:r>
      <w:r w:rsidRPr="0025612C">
        <w:rPr>
          <w:rFonts w:ascii="Arial" w:hAnsi="Arial" w:cs="Arial"/>
          <w:bCs/>
          <w:iCs/>
        </w:rPr>
        <w:t xml:space="preserve"> gene. A rare promoter mutation n.-97G&gt;C, c.-690G&gt;C (GRCh38.p14 chr16: g.75495538C&gt;G, rs1009794816, GnomAD MAF 0.000064), was identified in all affected individuals in either a homozygous state or in a compound heterozygous state with a </w:t>
      </w:r>
      <w:r w:rsidRPr="0025612C">
        <w:rPr>
          <w:rFonts w:ascii="Arial" w:hAnsi="Arial" w:cs="Arial"/>
          <w:bCs/>
          <w:i/>
          <w:iCs/>
        </w:rPr>
        <w:t>CHST6</w:t>
      </w:r>
      <w:r w:rsidRPr="0025612C">
        <w:rPr>
          <w:rFonts w:ascii="Arial" w:hAnsi="Arial" w:cs="Arial"/>
          <w:bCs/>
          <w:iCs/>
        </w:rPr>
        <w:t xml:space="preserve"> coding mutation, with the exception of the affected mother of the proband in Family A (</w:t>
      </w:r>
      <w:r w:rsidRPr="0025612C">
        <w:rPr>
          <w:rFonts w:ascii="Arial" w:hAnsi="Arial" w:cs="Arial"/>
          <w:bCs/>
        </w:rPr>
        <w:t xml:space="preserve">Fig. 1. </w:t>
      </w:r>
      <w:r w:rsidRPr="0025612C">
        <w:rPr>
          <w:rFonts w:ascii="Arial" w:hAnsi="Arial" w:cs="Arial"/>
          <w:bCs/>
          <w:iCs/>
        </w:rPr>
        <w:t>A. I-2) (Table 1).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(GRCh38.p14 chr16:</w:t>
      </w:r>
      <w:r w:rsidRPr="0025612C">
        <w:rPr>
          <w:rFonts w:ascii="Source Sans Pro" w:hAnsi="Source Sans Pro"/>
          <w:szCs w:val="26"/>
          <w:shd w:val="clear" w:color="auto" w:fill="FFFFFF"/>
        </w:rPr>
        <w:t xml:space="preserve"> g.</w:t>
      </w:r>
      <w:r w:rsidRPr="0025612C">
        <w:rPr>
          <w:rFonts w:ascii="Arial" w:hAnsi="Arial" w:cs="Arial"/>
          <w:bCs/>
          <w:iCs/>
        </w:rPr>
        <w:t>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p.(Tyr268Cys) (GRCh38.p14 chr16:</w:t>
      </w:r>
      <w:r w:rsidRPr="0025612C">
        <w:rPr>
          <w:rFonts w:ascii="Source Sans Pro" w:hAnsi="Source Sans Pro"/>
          <w:szCs w:val="26"/>
          <w:shd w:val="clear" w:color="auto" w:fill="F9F9F9"/>
        </w:rPr>
        <w:t xml:space="preserve"> </w:t>
      </w:r>
      <w:r w:rsidRPr="0025612C">
        <w:rPr>
          <w:rFonts w:ascii="Arial" w:hAnsi="Arial" w:cs="Arial"/>
          <w:bCs/>
          <w:iCs/>
        </w:rPr>
        <w:t>g.75479026T&gt;C, rs72547539, GnomAD MAF 0.000064), whereas unaffected individuals were heterozygous for one of the two mutations. In Families D and F, affected individuals were compound heterozygous for c.-690G&gt;C with a rare coding mutation c.632G&gt;A, p.(Arg211Gln) (GRCh38.p14 chr16:</w:t>
      </w:r>
      <w:r w:rsidRPr="0025612C">
        <w:rPr>
          <w:rFonts w:ascii="Source Sans Pro" w:hAnsi="Source Sans Pro"/>
          <w:szCs w:val="26"/>
          <w:shd w:val="clear" w:color="auto" w:fill="FFFFFF"/>
        </w:rPr>
        <w:t xml:space="preserve"> </w:t>
      </w:r>
      <w:r w:rsidRPr="0025612C">
        <w:rPr>
          <w:rFonts w:ascii="Arial" w:hAnsi="Arial" w:cs="Arial"/>
          <w:bCs/>
          <w:iCs/>
        </w:rPr>
        <w:t>g.75479197C&gt;T, rs771397083, GnomAD MAF 0.000004), while unaffected individuals were heterozygous for one of the two mutations.</w:t>
      </w:r>
    </w:p>
    <w:p w14:paraId="5072B36E" w14:textId="41143534" w:rsidR="00FE50C9" w:rsidRPr="0025612C" w:rsidRDefault="0025612C" w:rsidP="0025612C">
      <w:pPr>
        <w:pStyle w:val="Para"/>
      </w:pPr>
      <w:r w:rsidRPr="0025612C">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sidRPr="0025612C">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sidRPr="0025612C">
        <w:rPr>
          <w:rFonts w:ascii="Arial" w:hAnsi="Arial" w:cs="Arial"/>
          <w:bCs/>
          <w:i/>
          <w:iCs/>
        </w:rPr>
        <w:t>in cis</w:t>
      </w:r>
      <w:r w:rsidRPr="0025612C">
        <w:rPr>
          <w:rFonts w:ascii="Arial" w:hAnsi="Arial" w:cs="Arial"/>
          <w:bCs/>
          <w:iCs/>
        </w:rPr>
        <w:t xml:space="preserve">) as c.-690G&gt;C. The three adjacent variants </w:t>
      </w:r>
      <w:r w:rsidRPr="0025612C">
        <w:rPr>
          <w:rFonts w:ascii="Arial" w:hAnsi="Arial" w:cs="Arial"/>
          <w:bCs/>
          <w:i/>
        </w:rPr>
        <w:t>in cis</w:t>
      </w:r>
      <w:r w:rsidRPr="0025612C">
        <w:rPr>
          <w:rFonts w:ascii="Arial" w:hAnsi="Arial" w:cs="Arial"/>
          <w:bCs/>
          <w:iCs/>
        </w:rPr>
        <w:t xml:space="preserve"> are denoted as c.[-668C&gt;T; -690G&gt;C; -792C&gt;T]. In regards to the large deletion and rearrangement of </w:t>
      </w:r>
      <w:r w:rsidRPr="0025612C">
        <w:rPr>
          <w:rFonts w:ascii="Arial" w:hAnsi="Arial" w:cs="Arial"/>
          <w:bCs/>
          <w:i/>
        </w:rPr>
        <w:t xml:space="preserve">CHST6 </w:t>
      </w:r>
      <w:r w:rsidRPr="0025612C">
        <w:rPr>
          <w:rFonts w:ascii="Arial" w:hAnsi="Arial" w:cs="Arial"/>
          <w:bCs/>
          <w:iCs/>
        </w:rPr>
        <w:t>upstream region previously associated with MCD type II</w:t>
      </w:r>
      <w:r w:rsidRPr="0025612C">
        <w:rPr>
          <w:rFonts w:ascii="Arial" w:hAnsi="Arial" w:cs="Arial"/>
          <w:bCs/>
          <w:iCs/>
          <w:noProof/>
          <w:vertAlign w:val="superscript"/>
        </w:rPr>
        <w:t>17</w:t>
      </w:r>
      <w:r w:rsidRPr="0025612C">
        <w:rPr>
          <w:rFonts w:ascii="Arial" w:hAnsi="Arial" w:cs="Arial"/>
          <w:bCs/>
          <w:iCs/>
        </w:rPr>
        <w:t>, a heterozygous deletion was identified in only one of the probands, in family A (</w:t>
      </w:r>
      <w:r w:rsidRPr="0025612C">
        <w:rPr>
          <w:rFonts w:ascii="Arial" w:hAnsi="Arial" w:cs="Arial"/>
          <w:bCs/>
        </w:rPr>
        <w:t>Fig. 1. A. II-2).</w:t>
      </w:r>
    </w:p>
    <w:p w14:paraId="7A297A87" w14:textId="4511B64C" w:rsidR="003C4450" w:rsidRPr="0025612C" w:rsidRDefault="0025612C" w:rsidP="0025612C">
      <w:pPr>
        <w:pStyle w:val="Head2"/>
      </w:pPr>
      <w:r w:rsidRPr="0025612C">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sidRPr="0025612C">
        <w:rPr>
          <w:rFonts w:ascii="Arial" w:hAnsi="Arial" w:cs="Arial"/>
          <w:bCs/>
          <w:iCs/>
        </w:rPr>
        <w:t xml:space="preserve">All enrolled individuals from Families A, B, and C underwent WES. </w:t>
      </w:r>
      <w:r w:rsidRPr="0025612C">
        <w:rPr>
          <w:rFonts w:ascii="Arial" w:hAnsi="Arial" w:cs="Arial"/>
          <w:bCs/>
        </w:rPr>
        <w:t xml:space="preserve">Assuming an autosomal recessive inheritance in Family C, homozygous or compound heterozygous candidate variants that segregated with affected status in Family C were identified in </w:t>
      </w:r>
      <w:r w:rsidRPr="0025612C">
        <w:rPr>
          <w:rFonts w:ascii="Arial" w:hAnsi="Arial" w:cs="Arial"/>
          <w:bCs/>
          <w:i/>
          <w:iCs/>
        </w:rPr>
        <w:t>SND1</w:t>
      </w:r>
      <w:r w:rsidRPr="0025612C">
        <w:rPr>
          <w:rFonts w:ascii="Arial" w:hAnsi="Arial" w:cs="Arial"/>
          <w:bCs/>
        </w:rPr>
        <w:t xml:space="preserve">, </w:t>
      </w:r>
      <w:r w:rsidRPr="0025612C">
        <w:rPr>
          <w:rFonts w:ascii="Arial" w:hAnsi="Arial" w:cs="Arial"/>
          <w:bCs/>
          <w:i/>
          <w:iCs/>
        </w:rPr>
        <w:t>ANKRD36</w:t>
      </w:r>
      <w:r w:rsidRPr="0025612C">
        <w:rPr>
          <w:rFonts w:ascii="Arial" w:hAnsi="Arial" w:cs="Arial"/>
          <w:bCs/>
        </w:rPr>
        <w:t xml:space="preserve"> and </w:t>
      </w:r>
      <w:r w:rsidRPr="0025612C">
        <w:rPr>
          <w:rFonts w:ascii="Arial" w:hAnsi="Arial" w:cs="Arial"/>
          <w:bCs/>
          <w:i/>
          <w:iCs/>
        </w:rPr>
        <w:t>TAS2R43</w:t>
      </w:r>
      <w:r w:rsidRPr="0025612C">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Pr="0025612C">
        <w:rPr>
          <w:rFonts w:ascii="Arial" w:hAnsi="Arial" w:cs="Arial"/>
          <w:bCs/>
          <w:i/>
          <w:iCs/>
        </w:rPr>
        <w:t xml:space="preserve">CFAP74, FAAP20, PRDM16, CHD5, GRB14, NUP210, ZNF860, FAM160A1, FAM186A, PDIA3 </w:t>
      </w:r>
      <w:r w:rsidRPr="0025612C">
        <w:rPr>
          <w:rFonts w:ascii="Arial" w:hAnsi="Arial" w:cs="Arial"/>
          <w:bCs/>
        </w:rPr>
        <w:t xml:space="preserve">and </w:t>
      </w:r>
      <w:r w:rsidRPr="0025612C">
        <w:rPr>
          <w:rFonts w:ascii="Arial" w:hAnsi="Arial" w:cs="Arial"/>
          <w:bCs/>
          <w:i/>
          <w:iCs/>
        </w:rPr>
        <w:t>NCOA6</w:t>
      </w:r>
      <w:r w:rsidRPr="0025612C">
        <w:rPr>
          <w:rFonts w:ascii="Arial" w:hAnsi="Arial" w:cs="Arial"/>
          <w:bCs/>
        </w:rPr>
        <w:t>.</w:t>
      </w:r>
      <w:r w:rsidRPr="0025612C">
        <w:rPr>
          <w:rFonts w:ascii="Arial" w:hAnsi="Arial" w:cs="Arial"/>
          <w:bCs/>
          <w:i/>
          <w:iCs/>
        </w:rPr>
        <w:t xml:space="preserve"> </w:t>
      </w:r>
      <w:r w:rsidRPr="0025612C">
        <w:rPr>
          <w:rFonts w:ascii="Arial" w:hAnsi="Arial" w:cs="Arial"/>
          <w:bCs/>
        </w:rPr>
        <w:t>However, no candidate variant within these genes segregated with the affected status in Families A and B, excluding mutations in these genes as the genetic basis of PMED in each of these families (Supplemental Table 3).</w:t>
      </w:r>
    </w:p>
    <w:p w14:paraId="48C77295" w14:textId="52178FC4" w:rsidR="003C4450" w:rsidRPr="0025612C" w:rsidRDefault="0025612C" w:rsidP="0025612C">
      <w:pPr>
        <w:pStyle w:val="Head2"/>
      </w:pPr>
      <w:r w:rsidRPr="0025612C">
        <w:rPr>
          <w:rFonts w:ascii="Arial" w:hAnsi="Arial" w:cs="Arial"/>
          <w:bCs/>
          <w:iCs/>
        </w:rPr>
        <w:t>CHST6 promoter variant c.-690G&gt;C is predicted to be a regulatory variant bound by RNA polymerase II</w:t>
      </w:r>
    </w:p>
    <w:p w14:paraId="33B2A123" w14:textId="365065E6" w:rsidR="00FE50C9" w:rsidRPr="0025612C" w:rsidRDefault="0025612C" w:rsidP="0025612C">
      <w:pPr>
        <w:pStyle w:val="Para"/>
      </w:pPr>
      <w:r w:rsidRPr="0025612C">
        <w:rPr>
          <w:rFonts w:ascii="Arial" w:hAnsi="Arial" w:cs="Arial"/>
          <w:bCs/>
          <w:i/>
        </w:rPr>
        <w:t>In silico</w:t>
      </w:r>
      <w:r w:rsidRPr="0025612C">
        <w:rPr>
          <w:rFonts w:ascii="Arial" w:hAnsi="Arial" w:cs="Arial"/>
          <w:bCs/>
          <w:iCs/>
        </w:rPr>
        <w:t xml:space="preserve"> analysis using RegulomeDB predicted that c.-690G&gt;C is a regulatory variant with a score of 1 on a scale of 0 to 1 (Table 2).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ChIP-seq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(Table 2). </w:t>
      </w:r>
      <w:r w:rsidRPr="0025612C">
        <w:rPr>
          <w:rFonts w:ascii="Arial" w:hAnsi="Arial" w:cs="Arial"/>
          <w:bCs/>
          <w:i/>
        </w:rPr>
        <w:t>In silico</w:t>
      </w:r>
      <w:r w:rsidRPr="0025612C">
        <w:rPr>
          <w:rFonts w:ascii="Arial" w:hAnsi="Arial" w:cs="Arial"/>
          <w:bCs/>
          <w:iCs/>
        </w:rPr>
        <w:t xml:space="preserve"> analysis of the three identified coding variants, p.Arg211Gln, p.Tyr268Cys and p.Pro280Leu, predicted all to be “Deleterious” in PredictSNP2 and “Probably Damaging” in PolyPhen-2 (Table 2).</w:t>
      </w:r>
    </w:p>
    <w:p w14:paraId="433A0FCE" w14:textId="48C85CEB" w:rsidR="00656007" w:rsidRPr="0025612C" w:rsidRDefault="0025612C" w:rsidP="0025612C">
      <w:pPr>
        <w:pStyle w:val="Head2"/>
      </w:pPr>
      <w:r w:rsidRPr="0025612C">
        <w:rPr>
          <w:rFonts w:ascii="Arial" w:hAnsi="Arial" w:cs="Arial"/>
          <w:bCs/>
          <w:iCs/>
        </w:rPr>
        <w:t>CHST6 c.-690G&gt;C leads to increased sulfated KS in human corneal endothelial cells but not in human keratocytes</w:t>
      </w:r>
    </w:p>
    <w:p w14:paraId="3811925F" w14:textId="2F9565C4" w:rsidR="00FE50C9" w:rsidRPr="0025612C" w:rsidRDefault="0025612C" w:rsidP="0025612C">
      <w:pPr>
        <w:pStyle w:val="Para"/>
      </w:pPr>
      <w:r w:rsidRPr="0025612C">
        <w:rPr>
          <w:rFonts w:ascii="Arial" w:hAnsi="Arial" w:cs="Arial"/>
          <w:bCs/>
          <w:iCs/>
        </w:rPr>
        <w:t xml:space="preserve">To assess the functional effects of the identified </w:t>
      </w:r>
      <w:r w:rsidRPr="0025612C">
        <w:rPr>
          <w:rFonts w:ascii="Arial" w:hAnsi="Arial" w:cs="Arial"/>
          <w:bCs/>
          <w:i/>
          <w:iCs/>
        </w:rPr>
        <w:t>CHST6</w:t>
      </w:r>
      <w:r w:rsidRPr="0025612C">
        <w:rPr>
          <w:rFonts w:ascii="Arial" w:hAnsi="Arial" w:cs="Arial"/>
          <w:bCs/>
          <w:iCs/>
        </w:rPr>
        <w:t xml:space="preserve"> variants, wild-type and/or mutant CHST6 promoter-containing expressing vectors (CGn6STwPro) were transfected into immortalized HCEnC and HK (Fig. 4A). In HCEnC,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HCEnC transfected under all conditions with c.-690G&gt;C promoter variant, including PT/PT, c.-690G&gt;C/c.-690G&gt;C, PT/P280L, PT/Y268C, WT/PT, c.-690G&gt;C/P280L, or c.-690G&gt;C/Y268C conditions. However, the levels of 5D4+ KS remained unchanged in HCEnC following transfection of only coding variant-containing constructs P280L/P280L and Y268C/Y268C (Fig. 4B, C).</w:t>
      </w:r>
    </w:p>
    <w:p w14:paraId="42F7E050" w14:textId="354621C3" w:rsidR="008F033D" w:rsidRPr="0025612C" w:rsidRDefault="0025612C" w:rsidP="0025612C">
      <w:pPr>
        <w:pStyle w:val="Para"/>
      </w:pPr>
      <w:r w:rsidRPr="0025612C">
        <w:rPr>
          <w:rFonts w:ascii="Arial" w:hAnsi="Arial" w:cs="Arial"/>
          <w:bCs/>
          <w:iCs/>
        </w:rPr>
        <w:t xml:space="preserve">In HK, on the contrary, there was significantly higher 5D4+ KS in cells transfected with wild-type CHST6 expression construct (WT/WT) compared to HCEnC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HCEnC is induced by the presence of </w:t>
      </w:r>
      <w:r w:rsidRPr="0025612C">
        <w:rPr>
          <w:rFonts w:ascii="Arial" w:hAnsi="Arial" w:cs="Arial"/>
          <w:bCs/>
          <w:i/>
          <w:iCs/>
        </w:rPr>
        <w:t>CHST6</w:t>
      </w:r>
      <w:r w:rsidRPr="0025612C">
        <w:rPr>
          <w:rFonts w:ascii="Arial" w:hAnsi="Arial" w:cs="Arial"/>
          <w:bCs/>
          <w:iCs/>
        </w:rPr>
        <w:t xml:space="preserve"> c.-690G&gt;C promoter variant, and the previously unreported </w:t>
      </w:r>
      <w:r w:rsidRPr="0025612C">
        <w:rPr>
          <w:rFonts w:ascii="Arial" w:hAnsi="Arial" w:cs="Arial"/>
          <w:bCs/>
          <w:i/>
          <w:iCs/>
        </w:rPr>
        <w:t>CHST6</w:t>
      </w:r>
      <w:r w:rsidRPr="0025612C">
        <w:rPr>
          <w:rFonts w:ascii="Arial" w:hAnsi="Arial" w:cs="Arial"/>
          <w:bCs/>
          <w:iCs/>
        </w:rPr>
        <w:t xml:space="preserve"> P280L mutation leads to decreased CGn6ST</w:t>
      </w:r>
      <w:r w:rsidRPr="0025612C">
        <w:rPr>
          <w:rFonts w:ascii="Arial" w:hAnsi="Arial" w:cs="Arial"/>
          <w:bCs/>
        </w:rPr>
        <w:t xml:space="preserve">/CHST6 </w:t>
      </w:r>
      <w:r w:rsidRPr="0025612C">
        <w:rPr>
          <w:rFonts w:ascii="Arial" w:hAnsi="Arial" w:cs="Arial"/>
          <w:bCs/>
          <w:iCs/>
        </w:rPr>
        <w:t>enzymatic activity in HK, similar to the previously reported Y268C mutation (Fig. 4B, C).</w:t>
      </w:r>
    </w:p>
    <w:p w14:paraId="1CB4D870" w14:textId="1E7442EC" w:rsidR="00656007" w:rsidRPr="0025612C" w:rsidRDefault="0025612C" w:rsidP="0025612C">
      <w:pPr>
        <w:pStyle w:val="Head2"/>
      </w:pPr>
      <w:r w:rsidRPr="0025612C">
        <w:rPr>
          <w:rFonts w:ascii="Arial" w:hAnsi="Arial" w:cs="Arial"/>
          <w:bCs/>
          <w:iCs/>
        </w:rPr>
        <w:t>CHST6 c.-690G&gt;C induced increase of sulfated and unsulfated KS is restricted to Descemet membrane and corneal endothelium</w:t>
      </w:r>
    </w:p>
    <w:p w14:paraId="628C33BE" w14:textId="345F952B" w:rsidR="00FE50C9" w:rsidRPr="0025612C" w:rsidRDefault="0025612C" w:rsidP="0025612C">
      <w:pPr>
        <w:pStyle w:val="Para"/>
      </w:pPr>
      <w:r w:rsidRPr="0025612C">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(Fig. 5).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sidRPr="0025612C">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3A9C4DEC" w:rsidR="00FE50C9" w:rsidRPr="0025612C" w:rsidRDefault="0025612C" w:rsidP="0025612C">
      <w:pPr>
        <w:pStyle w:val="Para"/>
      </w:pPr>
      <w:r w:rsidRPr="0025612C">
        <w:rPr>
          <w:rFonts w:ascii="Arial" w:hAnsi="Arial" w:cs="Arial"/>
          <w:bCs/>
          <w:iCs/>
        </w:rPr>
        <w:t xml:space="preserve">To evaluate the impact of the </w:t>
      </w:r>
      <w:r w:rsidRPr="0025612C">
        <w:rPr>
          <w:rFonts w:ascii="Arial" w:hAnsi="Arial" w:cs="Arial"/>
          <w:bCs/>
          <w:i/>
          <w:iCs/>
        </w:rPr>
        <w:t xml:space="preserve">CHST6 </w:t>
      </w:r>
      <w:r w:rsidRPr="0025612C">
        <w:rPr>
          <w:rFonts w:ascii="Arial" w:hAnsi="Arial" w:cs="Arial"/>
          <w:bCs/>
          <w:iCs/>
        </w:rPr>
        <w:t>c.-690G&gt;C mutation on systemic KS sulfation and metabolism, serum and/or DBS were collected from affected and unaffected members of 6 of 7 families (Fig. 1).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Tables 3 and 4, respectively. Adjusted DBS measurements were provided for ease of comparison with serum sample measurements, based on a previously published method.</w:t>
      </w:r>
      <w:r w:rsidRPr="0025612C">
        <w:rPr>
          <w:rFonts w:ascii="Arial" w:hAnsi="Arial" w:cs="Arial"/>
          <w:bCs/>
          <w:iCs/>
          <w:noProof/>
          <w:vertAlign w:val="superscript"/>
        </w:rPr>
        <w:t>13</w:t>
      </w:r>
      <w:r w:rsidRPr="0025612C">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sidRPr="0025612C">
        <w:rPr>
          <w:rFonts w:ascii="Arial" w:hAnsi="Arial" w:cs="Arial"/>
          <w:bCs/>
          <w:iCs/>
        </w:rPr>
        <w:t xml:space="preserve">The above data suggested that the aberrant overexpression of 5D4+ high sulfated KS induced by the </w:t>
      </w:r>
      <w:r w:rsidRPr="0025612C">
        <w:rPr>
          <w:rFonts w:ascii="Arial" w:hAnsi="Arial" w:cs="Arial"/>
          <w:bCs/>
          <w:i/>
          <w:iCs/>
        </w:rPr>
        <w:t xml:space="preserve">CHST6 c.-690G&gt;C </w:t>
      </w:r>
      <w:r w:rsidRPr="0025612C">
        <w:rPr>
          <w:rFonts w:ascii="Arial" w:hAnsi="Arial" w:cs="Arial"/>
          <w:bCs/>
        </w:rPr>
        <w:t>mutation</w:t>
      </w:r>
      <w:r w:rsidRPr="0025612C">
        <w:rPr>
          <w:rFonts w:ascii="Arial" w:hAnsi="Arial" w:cs="Arial"/>
          <w:bCs/>
          <w:i/>
          <w:iCs/>
        </w:rPr>
        <w:t xml:space="preserve"> </w:t>
      </w:r>
      <w:r w:rsidRPr="0025612C">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sidRPr="0025612C">
        <w:rPr>
          <w:rFonts w:ascii="Arial" w:hAnsi="Arial" w:cs="Arial"/>
          <w:bCs/>
          <w:iCs/>
        </w:rPr>
        <w:t>CHST6 c.-690G&gt;C is a pathogenic variant</w:t>
      </w:r>
    </w:p>
    <w:p w14:paraId="77D71F10" w14:textId="7FE24DF0" w:rsidR="00FE50C9" w:rsidRPr="0025612C" w:rsidRDefault="0025612C" w:rsidP="0025612C">
      <w:pPr>
        <w:pStyle w:val="Para"/>
      </w:pPr>
      <w:r w:rsidRPr="0025612C">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r w:rsidRPr="0025612C">
        <w:rPr>
          <w:rFonts w:ascii="Arial" w:hAnsi="Arial" w:cs="Arial"/>
          <w:bCs/>
          <w:iCs/>
          <w:noProof/>
          <w:vertAlign w:val="superscript"/>
        </w:rPr>
        <w:t>18</w:t>
      </w:r>
      <w:r w:rsidRPr="0025612C">
        <w:rPr>
          <w:rFonts w:ascii="Arial" w:hAnsi="Arial" w:cs="Arial"/>
          <w:bCs/>
          <w:iCs/>
        </w:rPr>
        <w:t>, the 2018 ACMG/AMP guideline update for PP5 and BP6 variants</w:t>
      </w:r>
      <w:r w:rsidRPr="0025612C">
        <w:rPr>
          <w:rFonts w:ascii="Arial" w:hAnsi="Arial" w:cs="Arial"/>
          <w:bCs/>
          <w:iCs/>
          <w:noProof/>
          <w:vertAlign w:val="superscript"/>
        </w:rPr>
        <w:t>19</w:t>
      </w:r>
      <w:r w:rsidRPr="0025612C">
        <w:rPr>
          <w:rFonts w:ascii="Arial" w:hAnsi="Arial" w:cs="Arial"/>
          <w:bCs/>
          <w:iCs/>
        </w:rPr>
        <w:t>, the Bayesian adaptation of the ACMG/AMP variant interpretation framework</w:t>
      </w:r>
      <w:r w:rsidRPr="0025612C">
        <w:rPr>
          <w:rFonts w:ascii="Arial" w:hAnsi="Arial" w:cs="Arial"/>
          <w:bCs/>
          <w:iCs/>
          <w:noProof/>
          <w:vertAlign w:val="superscript"/>
        </w:rPr>
        <w:t>14</w:t>
      </w:r>
      <w:r w:rsidRPr="0025612C">
        <w:rPr>
          <w:rFonts w:ascii="Arial" w:hAnsi="Arial" w:cs="Arial"/>
          <w:bCs/>
          <w:iCs/>
        </w:rPr>
        <w:t>, the 2020 ACMG/AMP guideline update for PS3/BS3 criterion</w:t>
      </w:r>
      <w:r w:rsidRPr="0025612C">
        <w:rPr>
          <w:rFonts w:ascii="Arial" w:hAnsi="Arial" w:cs="Arial"/>
          <w:bCs/>
          <w:iCs/>
          <w:noProof/>
          <w:vertAlign w:val="superscript"/>
        </w:rPr>
        <w:t>20</w:t>
      </w:r>
      <w:r w:rsidRPr="0025612C">
        <w:rPr>
          <w:rFonts w:ascii="Arial" w:hAnsi="Arial" w:cs="Arial"/>
          <w:bCs/>
          <w:iCs/>
        </w:rPr>
        <w:t>, and the 2022 ACGS variant interpretation guidelines for non-coding variants.</w:t>
      </w:r>
      <w:r w:rsidRPr="0025612C">
        <w:rPr>
          <w:rFonts w:ascii="Arial" w:hAnsi="Arial" w:cs="Arial"/>
          <w:bCs/>
          <w:iCs/>
          <w:noProof/>
          <w:vertAlign w:val="superscript"/>
        </w:rPr>
        <w:t>21</w:t>
      </w:r>
      <w:r w:rsidRPr="0025612C">
        <w:rPr>
          <w:rFonts w:ascii="Arial" w:hAnsi="Arial" w:cs="Arial"/>
          <w:bCs/>
          <w:iCs/>
        </w:rPr>
        <w:t xml:space="preserve"> 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(Table 5).</w:t>
      </w:r>
    </w:p>
    <w:p w14:paraId="3134F36D" w14:textId="45A07A7F" w:rsidR="004C52FA" w:rsidRPr="0025612C" w:rsidRDefault="0025612C" w:rsidP="0025612C">
      <w:pPr>
        <w:pStyle w:val="Head1"/>
      </w:pPr>
      <w:r w:rsidRPr="0025612C">
        <w:rPr>
          <w:rFonts w:ascii="Arial" w:hAnsi="Arial" w:cs="Arial"/>
        </w:rPr>
        <w:t>DISCUSSION</w:t>
      </w:r>
    </w:p>
    <w:p w14:paraId="24A4BB3B" w14:textId="062E6150" w:rsidR="00FE50C9" w:rsidRPr="0025612C" w:rsidRDefault="0025612C" w:rsidP="0025612C">
      <w:pPr>
        <w:pStyle w:val="Para"/>
      </w:pPr>
      <w:r w:rsidRPr="0025612C">
        <w:rPr>
          <w:rFonts w:ascii="Arial" w:hAnsi="Arial" w:cs="Arial"/>
        </w:rPr>
        <w:t xml:space="preserve">This study details the clinical, histopathologic, immunohistochemical and genetic features of a </w:t>
      </w:r>
      <w:r w:rsidRPr="0025612C">
        <w:rPr>
          <w:rFonts w:ascii="Arial" w:hAnsi="Arial" w:cs="Arial"/>
          <w:i/>
          <w:iCs/>
        </w:rPr>
        <w:t>CHST6</w:t>
      </w:r>
      <w:r w:rsidRPr="0025612C">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sidRPr="0025612C">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7646057" w:rsidR="00FE50C9" w:rsidRPr="0025612C" w:rsidRDefault="0025612C" w:rsidP="0025612C">
      <w:pPr>
        <w:pStyle w:val="Para"/>
      </w:pPr>
      <w:r w:rsidRPr="0025612C">
        <w:rPr>
          <w:rFonts w:ascii="Arial" w:hAnsi="Arial" w:cs="Arial"/>
        </w:rPr>
        <w:t xml:space="preserve">Similar to MCD, PMED is associated with promoter and coding region mutations in </w:t>
      </w:r>
      <w:r w:rsidRPr="0025612C">
        <w:rPr>
          <w:rFonts w:ascii="Arial" w:hAnsi="Arial" w:cs="Arial"/>
          <w:i/>
          <w:iCs/>
        </w:rPr>
        <w:t>CHST6</w:t>
      </w:r>
      <w:r w:rsidRPr="0025612C">
        <w:rPr>
          <w:rFonts w:ascii="Arial" w:hAnsi="Arial" w:cs="Arial"/>
        </w:rPr>
        <w:t xml:space="preserve">. </w:t>
      </w:r>
      <w:r w:rsidRPr="0025612C">
        <w:rPr>
          <w:rFonts w:ascii="Arial" w:hAnsi="Arial" w:cs="Arial"/>
          <w:bCs/>
          <w:iCs/>
        </w:rPr>
        <w:t>Identified coding region mutations, p.Tyr268Cys (Y268C) and p.Arg211Gln (R211Q), have been previously reported to be associated with MCD,</w:t>
      </w:r>
      <w:r w:rsidRPr="0025612C">
        <w:rPr>
          <w:rFonts w:ascii="Arial" w:hAnsi="Arial" w:cs="Arial"/>
          <w:bCs/>
        </w:rPr>
        <w:t xml:space="preserve"> suggesting</w:t>
      </w:r>
      <w:r w:rsidRPr="0025612C">
        <w:rPr>
          <w:rFonts w:ascii="Arial" w:hAnsi="Arial" w:cs="Arial"/>
          <w:bCs/>
          <w:iCs/>
        </w:rPr>
        <w:t xml:space="preserve"> these two coding mutations lead to decreased CGn6ST/CHST6 enzymatic activity.</w:t>
      </w:r>
      <w:r w:rsidRPr="0025612C">
        <w:rPr>
          <w:rFonts w:ascii="Arial" w:hAnsi="Arial" w:cs="Arial"/>
          <w:bCs/>
          <w:noProof/>
          <w:vertAlign w:val="superscript"/>
        </w:rPr>
        <w:t>22</w:t>
      </w:r>
      <w:r w:rsidRPr="0025612C">
        <w:rPr>
          <w:rFonts w:ascii="Arial" w:hAnsi="Arial" w:cs="Arial"/>
        </w:rPr>
        <w:t xml:space="preserve"> </w:t>
      </w:r>
      <w:r w:rsidRPr="0025612C">
        <w:rPr>
          <w:rFonts w:ascii="Arial" w:hAnsi="Arial" w:cs="Arial"/>
          <w:bCs/>
          <w:noProof/>
          <w:vertAlign w:val="superscript"/>
        </w:rPr>
        <w:t>23</w:t>
      </w:r>
      <w:r w:rsidRPr="0025612C">
        <w:rPr>
          <w:rFonts w:ascii="Arial" w:hAnsi="Arial" w:cs="Arial"/>
          <w:bCs/>
        </w:rPr>
        <w:t xml:space="preserve"> </w:t>
      </w:r>
      <w:r w:rsidRPr="0025612C">
        <w:rPr>
          <w:rFonts w:ascii="Arial" w:hAnsi="Arial" w:cs="Arial"/>
          <w:bCs/>
          <w:iCs/>
        </w:rPr>
        <w:t xml:space="preserve">However, p.Pro280Leu (P280L) is novel and has not been associated with MCD. </w:t>
      </w:r>
      <w:r w:rsidRPr="0025612C">
        <w:rPr>
          <w:rFonts w:ascii="Arial" w:hAnsi="Arial" w:cs="Arial"/>
        </w:rPr>
        <w:t xml:space="preserve">In each of the seven families that we describe, the rare </w:t>
      </w:r>
      <w:r w:rsidRPr="0025612C">
        <w:rPr>
          <w:rFonts w:ascii="Arial" w:hAnsi="Arial" w:cs="Arial"/>
          <w:i/>
          <w:iCs/>
        </w:rPr>
        <w:t>CHST6</w:t>
      </w:r>
      <w:r w:rsidRPr="0025612C">
        <w:rPr>
          <w:rFonts w:ascii="Arial" w:hAnsi="Arial" w:cs="Arial"/>
        </w:rPr>
        <w:t xml:space="preserve"> promoter mutation c.-690G&gt;C, not previously associated with MCD, was identified in either </w:t>
      </w:r>
      <w:r w:rsidRPr="0025612C">
        <w:rPr>
          <w:rFonts w:ascii="Arial" w:hAnsi="Arial" w:cs="Arial"/>
          <w:bCs/>
          <w:iCs/>
        </w:rPr>
        <w:t>the homozygous or compound heterozygous state</w:t>
      </w:r>
      <w:r w:rsidRPr="0025612C">
        <w:rPr>
          <w:rFonts w:ascii="Arial" w:hAnsi="Arial" w:cs="Arial"/>
        </w:rPr>
        <w:t xml:space="preserve">. </w:t>
      </w:r>
      <w:r w:rsidRPr="0025612C">
        <w:rPr>
          <w:rFonts w:ascii="Arial" w:hAnsi="Arial" w:cs="Arial"/>
          <w:i/>
          <w:iCs/>
        </w:rPr>
        <w:t>In silico</w:t>
      </w:r>
      <w:r w:rsidRPr="0025612C">
        <w:rPr>
          <w:rFonts w:ascii="Arial" w:hAnsi="Arial" w:cs="Arial"/>
        </w:rPr>
        <w:t xml:space="preserve"> analysis suggests that </w:t>
      </w:r>
      <w:r w:rsidRPr="0025612C">
        <w:rPr>
          <w:rFonts w:ascii="Arial" w:hAnsi="Arial" w:cs="Arial"/>
          <w:i/>
          <w:iCs/>
        </w:rPr>
        <w:t>CHST6</w:t>
      </w:r>
      <w:r w:rsidRPr="0025612C">
        <w:rPr>
          <w:rFonts w:ascii="Arial" w:hAnsi="Arial" w:cs="Arial"/>
        </w:rPr>
        <w:t xml:space="preserve"> c.-690G&gt;C is located at the binding site of RNA polymerase II in the </w:t>
      </w:r>
      <w:r w:rsidRPr="0025612C">
        <w:rPr>
          <w:rFonts w:ascii="Arial" w:hAnsi="Arial" w:cs="Arial"/>
          <w:i/>
          <w:iCs/>
        </w:rPr>
        <w:t>CHST6</w:t>
      </w:r>
      <w:r w:rsidRPr="0025612C">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sidRPr="0025612C">
        <w:rPr>
          <w:rFonts w:ascii="Arial" w:hAnsi="Arial" w:cs="Arial"/>
          <w:i/>
          <w:iCs/>
        </w:rPr>
        <w:t>CHST6</w:t>
      </w:r>
      <w:r w:rsidRPr="0025612C">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sidRPr="0025612C">
        <w:rPr>
          <w:rFonts w:ascii="Arial" w:hAnsi="Arial" w:cs="Arial"/>
          <w:i/>
          <w:iCs/>
        </w:rPr>
        <w:t>CHST6</w:t>
      </w:r>
      <w:r w:rsidRPr="0025612C">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sidRPr="0025612C">
        <w:rPr>
          <w:rFonts w:ascii="Arial" w:hAnsi="Arial" w:cs="Arial"/>
          <w:i/>
          <w:iCs/>
        </w:rPr>
        <w:t>CHST6</w:t>
      </w:r>
      <w:r w:rsidRPr="0025612C">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r w:rsidRPr="0025612C">
        <w:rPr>
          <w:rFonts w:ascii="Arial" w:hAnsi="Arial" w:cs="Arial"/>
          <w:noProof/>
          <w:vertAlign w:val="superscript"/>
        </w:rPr>
        <w:t>21</w:t>
      </w:r>
      <w:r w:rsidRPr="0025612C">
        <w:rPr>
          <w:rFonts w:ascii="Arial" w:hAnsi="Arial" w:cs="Arial"/>
        </w:rPr>
        <w:t xml:space="preserve"> specified that functional assay(s) of identified non-coding variant(s) need to be performed in disease-relevant tissues or cell types. In our study, functional assays of identified </w:t>
      </w:r>
      <w:r w:rsidRPr="0025612C">
        <w:rPr>
          <w:rFonts w:ascii="Arial" w:hAnsi="Arial" w:cs="Arial"/>
          <w:i/>
          <w:iCs/>
        </w:rPr>
        <w:t>CHST6</w:t>
      </w:r>
      <w:r w:rsidRPr="0025612C">
        <w:rPr>
          <w:rFonts w:ascii="Arial" w:hAnsi="Arial" w:cs="Arial"/>
        </w:rPr>
        <w:t xml:space="preserve"> non-coding (c.-690G&gt;C) and coding (P280L and Y268C) mutations were performed in HCEnC and HK using the same outcome measurement – the level of 5D4 antibody labeled highly sulfated KS. While the functional assay showed decreased 5D4+ KS with the two </w:t>
      </w:r>
      <w:r w:rsidRPr="0025612C">
        <w:rPr>
          <w:rFonts w:ascii="Arial" w:hAnsi="Arial" w:cs="Arial"/>
          <w:i/>
          <w:iCs/>
        </w:rPr>
        <w:t>CHST6</w:t>
      </w:r>
      <w:r w:rsidRPr="0025612C">
        <w:rPr>
          <w:rFonts w:ascii="Arial" w:hAnsi="Arial" w:cs="Arial"/>
        </w:rPr>
        <w:t xml:space="preserve"> coding mutations in HK and no apparent change of already low 5D4+ KS in HCEnC, the assay also showed </w:t>
      </w:r>
      <w:r w:rsidRPr="0025612C">
        <w:rPr>
          <w:rFonts w:ascii="Arial" w:hAnsi="Arial" w:cs="Arial"/>
          <w:i/>
          <w:iCs/>
        </w:rPr>
        <w:t>CHST6</w:t>
      </w:r>
      <w:r w:rsidRPr="0025612C">
        <w:rPr>
          <w:rFonts w:ascii="Arial" w:hAnsi="Arial" w:cs="Arial"/>
        </w:rPr>
        <w:t xml:space="preserve"> c.-690G&gt;C enhanced 5D4+ KS in HCEnC with no apparent effect in HK. These results provided strong evidence of the differential functional consequences of </w:t>
      </w:r>
      <w:r w:rsidRPr="0025612C">
        <w:rPr>
          <w:rFonts w:ascii="Arial" w:hAnsi="Arial" w:cs="Arial"/>
          <w:i/>
          <w:iCs/>
        </w:rPr>
        <w:t>CHST6</w:t>
      </w:r>
      <w:r w:rsidRPr="0025612C">
        <w:rPr>
          <w:rFonts w:ascii="Arial" w:hAnsi="Arial" w:cs="Arial"/>
        </w:rPr>
        <w:t xml:space="preserve"> c.-690G&gt;C in keratocytes compared to corneal endothelium.</w:t>
      </w:r>
    </w:p>
    <w:p w14:paraId="210A8D65" w14:textId="7C4073C1" w:rsidR="00FE50C9" w:rsidRPr="0025612C" w:rsidRDefault="0025612C" w:rsidP="0025612C">
      <w:pPr>
        <w:pStyle w:val="Para"/>
      </w:pPr>
      <w:r w:rsidRPr="0025612C">
        <w:rPr>
          <w:rFonts w:ascii="Arial" w:hAnsi="Arial" w:cs="Arial"/>
        </w:rPr>
        <w:t xml:space="preserve">To the best of our knowledge, there have been three publications describing two individual cases and a family with peripheral gray-white macular deposits at the level of DM. Chaurasia </w:t>
      </w:r>
      <w:r w:rsidRPr="0025612C">
        <w:rPr>
          <w:rFonts w:ascii="Arial" w:hAnsi="Arial" w:cs="Arial"/>
          <w:i/>
          <w:iCs/>
        </w:rPr>
        <w:t>et al.</w:t>
      </w:r>
      <w:r w:rsidRPr="0025612C">
        <w:rPr>
          <w:rFonts w:ascii="Arial" w:hAnsi="Arial" w:cs="Arial"/>
        </w:rPr>
        <w:t xml:space="preserve"> described a 67-year-old Indian woman who presented with corneal edema, guttae and bilateral deposits at DM, scattered circumferentially in the peripheral cornea.</w:t>
      </w:r>
      <w:r w:rsidRPr="0025612C">
        <w:rPr>
          <w:rFonts w:ascii="Arial" w:hAnsi="Arial" w:cs="Arial"/>
          <w:noProof/>
          <w:vertAlign w:val="superscript"/>
        </w:rPr>
        <w:t>24</w:t>
      </w:r>
      <w:r w:rsidRPr="0025612C">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sidRPr="0025612C">
        <w:rPr>
          <w:rFonts w:ascii="Arial" w:hAnsi="Arial" w:cs="Arial"/>
          <w:i/>
          <w:iCs/>
        </w:rPr>
        <w:t>CHST6</w:t>
      </w:r>
      <w:r w:rsidRPr="0025612C">
        <w:rPr>
          <w:rFonts w:ascii="Arial" w:hAnsi="Arial" w:cs="Arial"/>
        </w:rPr>
        <w:t xml:space="preserve"> screening in this individual demonstrated two compound heterozygous mutations </w:t>
      </w:r>
      <w:r w:rsidRPr="0025612C">
        <w:rPr>
          <w:rFonts w:ascii="Arial" w:hAnsi="Arial" w:cs="Arial"/>
          <w:i/>
          <w:iCs/>
        </w:rPr>
        <w:t>in trans</w:t>
      </w:r>
      <w:r w:rsidRPr="0025612C">
        <w:rPr>
          <w:rFonts w:ascii="Arial" w:hAnsi="Arial" w:cs="Arial"/>
        </w:rPr>
        <w:t xml:space="preserve"> configuration: c.-26C&gt;A, a non-coding mutation in exon 2 that created a new upstream open reading frame (uORF’), predicted to attenuate translation efficiency of the downstream main ORF; and c.803A&gt;G, p.(Tyr268Cys), which is the same mutation identified in Family C that we report. Serum KS levels were reduced compared to age-matched controls, leading us to conclude that the diagnosis in this case was macular corneal dystrophy type II.</w:t>
      </w:r>
      <w:r w:rsidRPr="0025612C">
        <w:rPr>
          <w:rFonts w:ascii="Arial" w:hAnsi="Arial" w:cs="Arial"/>
          <w:noProof/>
          <w:vertAlign w:val="superscript"/>
        </w:rPr>
        <w:t>25</w:t>
      </w:r>
      <w:r w:rsidRPr="0025612C">
        <w:rPr>
          <w:rFonts w:ascii="Arial" w:hAnsi="Arial" w:cs="Arial"/>
        </w:rPr>
        <w:t xml:space="preserve"> However, when we performed an in vitro cell-based assay of the compound heterozygous mutations identified in this individual, we observed increased sulfated KS compared to wild type in HCEnC but no effect in HK (Supplemental Fig. 2), similar to that observed with </w:t>
      </w:r>
      <w:r w:rsidRPr="0025612C">
        <w:rPr>
          <w:rFonts w:ascii="Arial" w:hAnsi="Arial" w:cs="Arial"/>
          <w:i/>
          <w:iCs/>
        </w:rPr>
        <w:t>CHST6</w:t>
      </w:r>
      <w:r w:rsidRPr="0025612C">
        <w:rPr>
          <w:rFonts w:ascii="Arial" w:hAnsi="Arial" w:cs="Arial"/>
        </w:rPr>
        <w:t xml:space="preserve"> c.-690G&gt;C</w:t>
      </w:r>
      <w:r w:rsidRPr="0025612C">
        <w:rPr>
          <w:rFonts w:ascii="Arial" w:hAnsi="Arial" w:cs="Arial"/>
          <w:i/>
          <w:iCs/>
        </w:rPr>
        <w:t xml:space="preserve">. </w:t>
      </w:r>
      <w:r w:rsidRPr="0025612C">
        <w:rPr>
          <w:rFonts w:ascii="Arial" w:hAnsi="Arial" w:cs="Arial"/>
        </w:rPr>
        <w:t xml:space="preserve">Given this, and the absence of macular stromal deposits and diffuse stromal haze that are essential phenotypic features of MCD, we now believe that this individual more likely has PMED. Ye </w:t>
      </w:r>
      <w:r w:rsidRPr="0025612C">
        <w:rPr>
          <w:rFonts w:ascii="Arial" w:hAnsi="Arial" w:cs="Arial"/>
          <w:i/>
          <w:iCs/>
        </w:rPr>
        <w:t>et al.</w:t>
      </w:r>
      <w:r w:rsidRPr="0025612C">
        <w:rPr>
          <w:rFonts w:ascii="Arial" w:hAnsi="Arial" w:cs="Arial"/>
        </w:rPr>
        <w:t xml:space="preserve"> described a Chinese pedigree consisting of 13 members across 3 generations, including 6 affected individuals, showing an autosomal dominant inheritance pattern.</w:t>
      </w:r>
      <w:r w:rsidRPr="0025612C">
        <w:rPr>
          <w:rFonts w:ascii="Arial" w:hAnsi="Arial" w:cs="Arial"/>
          <w:noProof/>
          <w:vertAlign w:val="superscript"/>
        </w:rPr>
        <w:t>26</w:t>
      </w:r>
      <w:r w:rsidRPr="0025612C">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sidRPr="0025612C">
        <w:rPr>
          <w:rFonts w:ascii="Arial" w:hAnsi="Arial" w:cs="Arial"/>
          <w:i/>
          <w:iCs/>
        </w:rPr>
        <w:t>KIAA1522</w:t>
      </w:r>
      <w:r w:rsidRPr="0025612C">
        <w:rPr>
          <w:rFonts w:ascii="Arial" w:hAnsi="Arial" w:cs="Arial"/>
        </w:rPr>
        <w:t xml:space="preserve"> (c.1331G&gt;A) variant that segregated with affected status in the pedigree, indicating a distinct genetic basis from the families that we report.</w:t>
      </w:r>
      <w:r w:rsidRPr="0025612C">
        <w:rPr>
          <w:rFonts w:ascii="Arial" w:hAnsi="Arial" w:cs="Arial"/>
          <w:noProof/>
          <w:vertAlign w:val="superscript"/>
        </w:rPr>
        <w:t>26</w:t>
      </w:r>
    </w:p>
    <w:p w14:paraId="3CA234FC" w14:textId="109E8659" w:rsidR="00FE50C9" w:rsidRPr="0025612C" w:rsidRDefault="0025612C" w:rsidP="0025612C">
      <w:pPr>
        <w:pStyle w:val="Para"/>
      </w:pPr>
      <w:r w:rsidRPr="0025612C">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sidRPr="0025612C">
        <w:rPr>
          <w:rFonts w:ascii="Arial" w:hAnsi="Arial" w:cs="Arial"/>
          <w:vertAlign w:val="superscript"/>
        </w:rPr>
        <w:t>®</w:t>
      </w:r>
      <w:r w:rsidRPr="0025612C">
        <w:rPr>
          <w:rFonts w:ascii="Arial" w:hAnsi="Arial" w:cs="Arial"/>
        </w:rPr>
        <w:t xml:space="preserve">, received approval with a genetic indication labeling “for the treatment of patients with confirmed biallelic </w:t>
      </w:r>
      <w:r w:rsidRPr="0025612C">
        <w:rPr>
          <w:rFonts w:ascii="Arial" w:hAnsi="Arial" w:cs="Arial"/>
          <w:i/>
          <w:iCs/>
        </w:rPr>
        <w:t>RPE65</w:t>
      </w:r>
      <w:r w:rsidRPr="0025612C">
        <w:rPr>
          <w:rFonts w:ascii="Arial" w:hAnsi="Arial" w:cs="Arial"/>
        </w:rPr>
        <w:t xml:space="preserve"> mutation-associated retinal dystrophy”.</w:t>
      </w:r>
      <w:r w:rsidRPr="0025612C">
        <w:rPr>
          <w:rFonts w:ascii="Arial" w:hAnsi="Arial" w:cs="Arial"/>
          <w:noProof/>
          <w:vertAlign w:val="superscript"/>
        </w:rPr>
        <w:t>27</w:t>
      </w:r>
      <w:r w:rsidRPr="0025612C">
        <w:rPr>
          <w:rFonts w:ascii="Arial" w:hAnsi="Arial" w:cs="Arial"/>
        </w:rPr>
        <w:t xml:space="preserve"> This wording was selected primarily based on the observed variety of clinical diagnoses for </w:t>
      </w:r>
      <w:r w:rsidRPr="0025612C">
        <w:rPr>
          <w:rFonts w:ascii="Arial" w:hAnsi="Arial" w:cs="Arial"/>
          <w:i/>
          <w:iCs/>
        </w:rPr>
        <w:t>RPE65</w:t>
      </w:r>
      <w:r w:rsidRPr="0025612C">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sidRPr="0025612C">
        <w:rPr>
          <w:rFonts w:ascii="Arial" w:hAnsi="Arial" w:cs="Arial"/>
          <w:i/>
          <w:iCs/>
        </w:rPr>
        <w:t>RPE65</w:t>
      </w:r>
      <w:r w:rsidRPr="0025612C">
        <w:rPr>
          <w:rFonts w:ascii="Arial" w:hAnsi="Arial" w:cs="Arial"/>
        </w:rPr>
        <w:t>-mediated inherited retinal diseases include Leber congenital amaurosis (LCA), early-onset severe retinal dystrophy (EOSRD), retinitis pigmentosa (RP), Fundus albipunctatus (FA) and others.</w:t>
      </w:r>
      <w:r w:rsidRPr="0025612C">
        <w:rPr>
          <w:rFonts w:ascii="Arial" w:hAnsi="Arial" w:cs="Arial"/>
          <w:noProof/>
          <w:vertAlign w:val="superscript"/>
        </w:rPr>
        <w:t>28,29</w:t>
      </w:r>
      <w:r w:rsidRPr="0025612C">
        <w:rPr>
          <w:rFonts w:ascii="Arial" w:hAnsi="Arial" w:cs="Arial"/>
        </w:rPr>
        <w:t xml:space="preserve"> However, regardless of the clinical diagnosis, confirmation of biallelic </w:t>
      </w:r>
      <w:r w:rsidRPr="0025612C">
        <w:rPr>
          <w:rFonts w:ascii="Arial" w:hAnsi="Arial" w:cs="Arial"/>
          <w:i/>
          <w:iCs/>
        </w:rPr>
        <w:t>RPE65</w:t>
      </w:r>
      <w:r w:rsidRPr="0025612C">
        <w:rPr>
          <w:rFonts w:ascii="Arial" w:hAnsi="Arial" w:cs="Arial"/>
        </w:rPr>
        <w:t xml:space="preserve"> mutations is required for a patient to be eligible for Luxturna</w:t>
      </w:r>
      <w:r w:rsidRPr="0025612C">
        <w:rPr>
          <w:rFonts w:ascii="Arial" w:hAnsi="Arial" w:cs="Arial"/>
          <w:vertAlign w:val="superscript"/>
        </w:rPr>
        <w:t xml:space="preserve">® </w:t>
      </w:r>
      <w:r w:rsidRPr="0025612C">
        <w:rPr>
          <w:rFonts w:ascii="Arial" w:hAnsi="Arial" w:cs="Arial"/>
        </w:rPr>
        <w:t xml:space="preserve">gene therapy. Similarly, as the </w:t>
      </w:r>
      <w:r w:rsidRPr="0025612C">
        <w:rPr>
          <w:rFonts w:ascii="Arial" w:hAnsi="Arial" w:cs="Arial"/>
          <w:i/>
          <w:iCs/>
        </w:rPr>
        <w:t>TGFBI</w:t>
      </w:r>
      <w:r w:rsidRPr="0025612C">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sidRPr="0025612C">
        <w:rPr>
          <w:rFonts w:ascii="Arial" w:hAnsi="Arial" w:cs="Arial"/>
          <w:i/>
          <w:iCs/>
        </w:rPr>
        <w:t>CHST6</w:t>
      </w:r>
      <w:r w:rsidRPr="0025612C">
        <w:rPr>
          <w:rFonts w:ascii="Arial" w:hAnsi="Arial" w:cs="Arial"/>
        </w:rPr>
        <w:t xml:space="preserve">, we propose that they should both be categorized as </w:t>
      </w:r>
      <w:r w:rsidRPr="0025612C">
        <w:rPr>
          <w:rFonts w:ascii="Arial" w:hAnsi="Arial" w:cs="Arial"/>
          <w:i/>
          <w:iCs/>
        </w:rPr>
        <w:t>CHST6</w:t>
      </w:r>
      <w:r w:rsidRPr="0025612C">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sidRPr="0025612C">
        <w:rPr>
          <w:rFonts w:ascii="Arial" w:hAnsi="Arial" w:cs="Arial"/>
          <w:bCs/>
        </w:rPr>
        <w:t>AUTHOR CONTRIBUTIONS</w:t>
      </w:r>
    </w:p>
    <w:p w14:paraId="338E198F" w14:textId="7EFB8EB9" w:rsidR="00FB7CC4" w:rsidRPr="0025612C" w:rsidRDefault="0025612C" w:rsidP="0025612C">
      <w:pPr>
        <w:pStyle w:val="Para"/>
      </w:pPr>
      <w:r w:rsidRPr="0025612C">
        <w:rPr>
          <w:rFonts w:ascii="Arial" w:hAnsi="Arial" w:cs="Arial"/>
          <w:b/>
          <w:bCs/>
        </w:rPr>
        <w:t>Wenlin Zhang</w:t>
      </w:r>
      <w:r w:rsidRPr="0025612C">
        <w:rPr>
          <w:rFonts w:ascii="Arial" w:hAnsi="Arial" w:cs="Arial"/>
        </w:rPr>
        <w:t xml:space="preserve">: Conceptualization, Methodology, Formal Analysis, Investigation, Data Curation, Writing-Original Draft, Writing-Review &amp; editing, Visualization, Project Administration. </w:t>
      </w:r>
      <w:r w:rsidRPr="0025612C">
        <w:rPr>
          <w:rFonts w:ascii="Arial" w:hAnsi="Arial" w:cs="Arial"/>
          <w:b/>
          <w:bCs/>
        </w:rPr>
        <w:t>Huong Duong</w:t>
      </w:r>
      <w:r w:rsidRPr="0025612C">
        <w:rPr>
          <w:rFonts w:ascii="Arial" w:hAnsi="Arial" w:cs="Arial"/>
        </w:rPr>
        <w:t>: Conceptualization, Validation, Investigation, Data Curation, Writing-Review &amp; editing, Supervision, Project Administration.</w:t>
      </w:r>
      <w:r w:rsidRPr="0025612C">
        <w:rPr>
          <w:rFonts w:ascii="Arial" w:hAnsi="Arial" w:cs="Arial"/>
          <w:b/>
          <w:bCs/>
        </w:rPr>
        <w:t xml:space="preserve"> Passara Jongkhajornpong</w:t>
      </w:r>
      <w:r w:rsidRPr="0025612C">
        <w:rPr>
          <w:rFonts w:ascii="Arial" w:hAnsi="Arial" w:cs="Arial"/>
        </w:rPr>
        <w:t xml:space="preserve">: Conceptualization, Validation, Investigation, Data Curation, Writing-Review &amp; editing. </w:t>
      </w:r>
      <w:r w:rsidRPr="0025612C">
        <w:rPr>
          <w:rFonts w:ascii="Arial" w:hAnsi="Arial" w:cs="Arial"/>
          <w:b/>
          <w:bCs/>
        </w:rPr>
        <w:t>Do Thi Thuy Hang:</w:t>
      </w:r>
      <w:r w:rsidRPr="0025612C">
        <w:rPr>
          <w:rFonts w:ascii="Arial" w:hAnsi="Arial" w:cs="Arial"/>
        </w:rPr>
        <w:t xml:space="preserve"> Validation, Investigation, Data Curation. </w:t>
      </w:r>
      <w:r w:rsidRPr="0025612C">
        <w:rPr>
          <w:rFonts w:ascii="Arial" w:hAnsi="Arial" w:cs="Arial"/>
          <w:b/>
          <w:bCs/>
        </w:rPr>
        <w:t>Huan Pham:</w:t>
      </w:r>
      <w:r w:rsidRPr="0025612C">
        <w:rPr>
          <w:rFonts w:ascii="Arial" w:hAnsi="Arial" w:cs="Arial"/>
        </w:rPr>
        <w:t xml:space="preserve"> Validation, Investigation, Data Curation. </w:t>
      </w:r>
      <w:r w:rsidRPr="0025612C">
        <w:rPr>
          <w:rFonts w:ascii="Arial" w:hAnsi="Arial" w:cs="Arial"/>
          <w:b/>
          <w:bCs/>
        </w:rPr>
        <w:t>Mai Nguyen:</w:t>
      </w:r>
      <w:r w:rsidRPr="0025612C">
        <w:rPr>
          <w:rFonts w:ascii="Arial" w:hAnsi="Arial" w:cs="Arial"/>
        </w:rPr>
        <w:t xml:space="preserve"> Validation, Investigation, Data Curation. </w:t>
      </w:r>
      <w:r w:rsidRPr="0025612C">
        <w:rPr>
          <w:rFonts w:ascii="Arial" w:hAnsi="Arial" w:cs="Arial"/>
          <w:b/>
          <w:bCs/>
        </w:rPr>
        <w:t>Charlene Choo:</w:t>
      </w:r>
      <w:r w:rsidRPr="0025612C">
        <w:rPr>
          <w:rFonts w:ascii="Arial" w:hAnsi="Arial" w:cs="Arial"/>
        </w:rPr>
        <w:t xml:space="preserve"> Validation, Investigation, Data Curation. </w:t>
      </w:r>
      <w:r w:rsidRPr="0025612C">
        <w:rPr>
          <w:rFonts w:ascii="Arial" w:hAnsi="Arial" w:cs="Arial"/>
          <w:b/>
          <w:bCs/>
        </w:rPr>
        <w:t>Dominic Williams:</w:t>
      </w:r>
      <w:r w:rsidRPr="0025612C">
        <w:rPr>
          <w:rFonts w:ascii="Arial" w:hAnsi="Arial" w:cs="Arial"/>
        </w:rPr>
        <w:t xml:space="preserve"> Investigation, Data Curation </w:t>
      </w:r>
      <w:r w:rsidRPr="0025612C">
        <w:rPr>
          <w:rFonts w:ascii="Arial" w:hAnsi="Arial" w:cs="Arial"/>
          <w:b/>
          <w:bCs/>
        </w:rPr>
        <w:t>Xuan Nguyen:</w:t>
      </w:r>
      <w:r w:rsidRPr="0025612C">
        <w:rPr>
          <w:rFonts w:ascii="Arial" w:hAnsi="Arial" w:cs="Arial"/>
        </w:rPr>
        <w:t xml:space="preserve"> Investigation, Data Curation. </w:t>
      </w:r>
      <w:r w:rsidRPr="0025612C">
        <w:rPr>
          <w:rFonts w:ascii="Arial" w:hAnsi="Arial" w:cs="Arial"/>
          <w:b/>
          <w:bCs/>
        </w:rPr>
        <w:t>Tien Dat Nguyen</w:t>
      </w:r>
      <w:r w:rsidRPr="0025612C">
        <w:rPr>
          <w:rFonts w:ascii="Arial" w:hAnsi="Arial" w:cs="Arial"/>
        </w:rPr>
        <w:t xml:space="preserve">: Investigation, Data Curation. </w:t>
      </w:r>
      <w:r w:rsidRPr="0025612C">
        <w:rPr>
          <w:rFonts w:ascii="Arial" w:hAnsi="Arial" w:cs="Arial"/>
          <w:b/>
          <w:bCs/>
        </w:rPr>
        <w:t>Brian Aguirre,</w:t>
      </w:r>
      <w:r w:rsidRPr="0025612C">
        <w:rPr>
          <w:rFonts w:ascii="Arial" w:hAnsi="Arial" w:cs="Arial"/>
        </w:rPr>
        <w:t xml:space="preserve"> Investigation, Data Curation. </w:t>
      </w:r>
      <w:r w:rsidRPr="0025612C">
        <w:rPr>
          <w:rFonts w:ascii="Arial" w:hAnsi="Arial" w:cs="Arial"/>
          <w:b/>
          <w:bCs/>
        </w:rPr>
        <w:t>Shaukat Khan,</w:t>
      </w:r>
      <w:r w:rsidRPr="0025612C">
        <w:rPr>
          <w:rFonts w:ascii="Arial" w:hAnsi="Arial" w:cs="Arial"/>
        </w:rPr>
        <w:t xml:space="preserve"> Investigation, Data Curation. </w:t>
      </w:r>
      <w:r w:rsidRPr="0025612C">
        <w:rPr>
          <w:rFonts w:ascii="Arial" w:hAnsi="Arial" w:cs="Arial"/>
          <w:b/>
          <w:bCs/>
        </w:rPr>
        <w:t>Madhuri Wadehra:</w:t>
      </w:r>
      <w:r w:rsidRPr="0025612C">
        <w:rPr>
          <w:rFonts w:ascii="Arial" w:hAnsi="Arial" w:cs="Arial"/>
        </w:rPr>
        <w:t xml:space="preserve"> Supervision, </w:t>
      </w:r>
      <w:r w:rsidRPr="0025612C">
        <w:rPr>
          <w:rFonts w:ascii="Arial" w:hAnsi="Arial" w:cs="Arial"/>
          <w:b/>
          <w:bCs/>
        </w:rPr>
        <w:t>Shunji Tomatsu:</w:t>
      </w:r>
      <w:r w:rsidRPr="0025612C">
        <w:rPr>
          <w:rFonts w:ascii="Arial" w:hAnsi="Arial" w:cs="Arial"/>
        </w:rPr>
        <w:t xml:space="preserve"> Methodology, Writing-Review &amp; editing, Supervision, Project Administration. </w:t>
      </w:r>
      <w:r w:rsidRPr="0025612C">
        <w:rPr>
          <w:rFonts w:ascii="Arial" w:hAnsi="Arial" w:cs="Arial"/>
          <w:b/>
          <w:bCs/>
        </w:rPr>
        <w:t>Anthony J. Aldave</w:t>
      </w:r>
      <w:r w:rsidRPr="0025612C">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sidRPr="0025612C">
        <w:rPr>
          <w:rFonts w:ascii="Arial" w:hAnsi="Arial" w:cs="Arial"/>
        </w:rPr>
        <w:t>Funding</w:t>
      </w:r>
    </w:p>
    <w:p w14:paraId="364B6D86" w14:textId="2352CA06" w:rsidR="000C42AF" w:rsidRPr="0025612C" w:rsidRDefault="0025612C" w:rsidP="0025612C">
      <w:pPr>
        <w:pStyle w:val="Para"/>
      </w:pPr>
      <w:r w:rsidRPr="0025612C">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sidRPr="0025612C">
        <w:rPr>
          <w:rFonts w:ascii="Arial" w:hAnsi="Arial" w:cs="Arial"/>
        </w:rPr>
        <w:t>Financial Disclosures</w:t>
      </w:r>
    </w:p>
    <w:p w14:paraId="420CE1CA" w14:textId="4B7A2DEF" w:rsidR="00FE50C9" w:rsidRPr="0025612C" w:rsidRDefault="0025612C" w:rsidP="0025612C">
      <w:pPr>
        <w:pStyle w:val="Para"/>
      </w:pPr>
      <w:r w:rsidRPr="0025612C">
        <w:rPr>
          <w:rFonts w:ascii="Arial" w:hAnsi="Arial" w:cs="Arial"/>
        </w:rPr>
        <w:t>No financial disclosures</w:t>
      </w:r>
    </w:p>
    <w:p w14:paraId="252FF50D" w14:textId="0D93789D" w:rsidR="001E309B" w:rsidRPr="0025612C" w:rsidRDefault="0025612C" w:rsidP="0025612C">
      <w:pPr>
        <w:pStyle w:val="Head1"/>
      </w:pPr>
      <w:r w:rsidRPr="0025612C">
        <w:t>Table of Contents Statement</w:t>
      </w:r>
    </w:p>
    <w:p w14:paraId="1C4E76FF" w14:textId="68286650" w:rsidR="00FE50C9" w:rsidRPr="0025612C" w:rsidRDefault="0025612C" w:rsidP="0025612C">
      <w:pPr>
        <w:pStyle w:val="Para"/>
      </w:pPr>
      <w:r w:rsidRPr="0025612C">
        <w:rPr>
          <w:rFonts w:ascii="Arial" w:hAnsi="Arial" w:cs="Arial"/>
          <w:bCs/>
        </w:rPr>
        <w:t xml:space="preserve">Peripheral macular endothelial dystrophy is a </w:t>
      </w:r>
      <w:r w:rsidRPr="0025612C">
        <w:rPr>
          <w:rFonts w:ascii="Arial" w:hAnsi="Arial" w:cs="Arial"/>
          <w:bCs/>
          <w:iCs/>
        </w:rPr>
        <w:t xml:space="preserve">novel </w:t>
      </w:r>
      <w:r w:rsidRPr="0025612C">
        <w:rPr>
          <w:rFonts w:ascii="Arial" w:hAnsi="Arial" w:cs="Arial"/>
          <w:i/>
          <w:iCs/>
        </w:rPr>
        <w:t>CHST6</w:t>
      </w:r>
      <w:r w:rsidRPr="0025612C">
        <w:rPr>
          <w:rFonts w:ascii="Arial" w:hAnsi="Arial" w:cs="Arial"/>
        </w:rPr>
        <w:t xml:space="preserve">-associated corneal dystrophy </w:t>
      </w:r>
      <w:r w:rsidRPr="0025612C">
        <w:rPr>
          <w:rFonts w:ascii="Arial" w:hAnsi="Arial" w:cs="Arial"/>
          <w:bCs/>
          <w:iCs/>
        </w:rPr>
        <w:t xml:space="preserve">characterized by </w:t>
      </w:r>
      <w:r w:rsidRPr="0025612C">
        <w:rPr>
          <w:rFonts w:ascii="Arial" w:hAnsi="Arial" w:cs="Arial"/>
          <w:bCs/>
        </w:rPr>
        <w:t>peripheral posterior corneal macular opacities</w:t>
      </w:r>
      <w:r w:rsidRPr="0025612C">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sidRPr="00FB7CC4">
        <w:rPr>
          <w:lang w:eastAsia="ko-KR"/>
        </w:rPr>
        <w:t>Supplemental Material available at AJO.com</w:t>
      </w:r>
    </w:p>
    <w:p w14:paraId="1A1E5028" w14:textId="34BE6B48" w:rsidR="000C42AF" w:rsidRDefault="005512E0" w:rsidP="0025612C">
      <w:pPr>
        <w:pStyle w:val="SuppMedia"/>
      </w:pPr>
      <w:r>
        <w:t>mmc1</w:t>
      </w:r>
      <w:r w:rsidR="00810CEA">
        <w:t>.docx</w:t>
      </w:r>
    </w:p>
    <w:p w14:paraId="1BC3E27E" w14:textId="417AA1B9" w:rsidR="005512E0" w:rsidRDefault="005512E0" w:rsidP="0025612C">
      <w:pPr>
        <w:pStyle w:val="SuppMedia"/>
      </w:pPr>
      <w:r>
        <w:t>mmc2</w:t>
      </w:r>
      <w:r w:rsidR="00810CEA">
        <w:t>.docx</w:t>
      </w:r>
    </w:p>
    <w:p w14:paraId="605ADB7A" w14:textId="1662E5F1" w:rsidR="005512E0" w:rsidRDefault="005512E0" w:rsidP="0025612C">
      <w:pPr>
        <w:pStyle w:val="SuppMedia"/>
      </w:pPr>
      <w:r>
        <w:t>mmc3</w:t>
      </w:r>
      <w:r w:rsidR="00810CEA">
        <w:t>.docx</w:t>
      </w:r>
    </w:p>
    <w:p w14:paraId="3737C1E2" w14:textId="6E20D25B" w:rsidR="005512E0" w:rsidRPr="000C42AF" w:rsidRDefault="005512E0" w:rsidP="0025612C">
      <w:pPr>
        <w:pStyle w:val="SuppMedia"/>
      </w:pPr>
      <w:r>
        <w:t>mmc4</w:t>
      </w:r>
      <w:r w:rsidR="00810CEA">
        <w:t>.docx</w:t>
      </w:r>
    </w:p>
    <w:p w14:paraId="37EB0896" w14:textId="6D43A26C" w:rsidR="00AF4A81" w:rsidRPr="00FB7CC4" w:rsidRDefault="00AF4A81" w:rsidP="0025612C">
      <w:pPr>
        <w:pStyle w:val="AckHead"/>
      </w:pPr>
      <w:r w:rsidRPr="00FB7CC4">
        <w:t>ACKNOWL</w:t>
      </w:r>
      <w:r w:rsidR="002A284F" w:rsidRPr="00FB7CC4">
        <w:t>E</w:t>
      </w:r>
      <w:r w:rsidRPr="00FB7CC4">
        <w:t>DGEMENT</w:t>
      </w:r>
      <w:r w:rsidR="00254AB9" w:rsidRPr="00FB7CC4">
        <w:t>S</w:t>
      </w:r>
    </w:p>
    <w:p w14:paraId="35047F2D" w14:textId="157BD3B1" w:rsidR="00FB7CC4" w:rsidRPr="0025612C" w:rsidRDefault="0025612C" w:rsidP="0025612C">
      <w:pPr>
        <w:pStyle w:val="AckPara"/>
      </w:pPr>
      <w:bookmarkStart w:id="0" w:name="PrevBreak"/>
      <w:r w:rsidRPr="0025612C">
        <w:t>We thank Dr. Tomoya O. Akama (Kansai Medical University) for the generous gifts of pcDNA3_CGn6ST, pcDNA3_KSG6ST and pcDNA3_b3GnT7 plasmids, Dr. James V. Jester (UC Irvine) for the generous gift of a telomerase immortalized human keratocyte cell line and Dr. Ula V. Jurkunas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1" w:name="break"/>
      <w:bookmarkEnd w:id="0"/>
      <w:r>
        <w:t>Declaration of competing i</w:t>
      </w:r>
      <w:r w:rsidRPr="00FB7CC4">
        <w:t>nterest</w:t>
      </w:r>
    </w:p>
    <w:bookmarkEnd w:id="1"/>
    <w:p w14:paraId="3CBFC0CE" w14:textId="7D91DFE9" w:rsidR="00FE50C9" w:rsidRDefault="001E309B" w:rsidP="0025612C">
      <w:pPr>
        <w:pStyle w:val="ConflictofInterest"/>
        <w:ind w:firstLine="0"/>
      </w:pPr>
      <w:r w:rsidRPr="00FB7CC4">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rsidRPr="00FB7CC4">
        <w:t>REFERENCES</w:t>
      </w:r>
    </w:p>
    <w:p w14:paraId="26348A08" w14:textId="490B03E1" w:rsidR="005B70D5" w:rsidRDefault="005B70D5" w:rsidP="00FE50C9">
      <w:bookmarkStart w:id="2" w:name="BIBL"/>
      <w:bookmarkEnd w:id="2"/>
    </w:p>
    <w:p w14:paraId="4F587C80" w14:textId="5DCD029E" w:rsidR="00A11272" w:rsidRPr="005B70D5" w:rsidRDefault="005B70D5" w:rsidP="005B70D5">
      <w:pPr>
        <w:pStyle w:val="Bibentry"/>
      </w:pPr>
      <w:bookmarkStart w:id="3" w:name="_ENREF_1"/>
      <w:r w:rsidRPr="005B70D5">
        <w:t>&lt;bib id="bib1"&gt;&lt;number&gt;</w:t>
      </w:r>
      <w:r w:rsidR="00A11272" w:rsidRPr="005B70D5">
        <w:t>1.</w:t>
      </w:r>
      <w:r>
        <w:t>&lt;/number&gt;</w:t>
      </w:r>
      <w:r w:rsidR="00A11272" w:rsidRPr="00FB7CC4">
        <w:t xml:space="preserve">Weiss JS, Moller HU, Aldave AJ, et al. IC3D classification of corneal dystrophies--edition 2. </w:t>
      </w:r>
      <w:r w:rsidR="00A11272" w:rsidRPr="00FB7CC4">
        <w:rPr>
          <w:i/>
        </w:rPr>
        <w:t xml:space="preserve">Cornea. </w:t>
      </w:r>
      <w:r w:rsidR="00A11272" w:rsidRPr="00FB7CC4">
        <w:t>2015;34(2):117-159.</w:t>
      </w:r>
      <w:bookmarkEnd w:id="3"/>
      <w:r>
        <w:t>&lt;/bib&gt;</w:t>
      </w:r>
    </w:p>
    <w:p w14:paraId="10AD0E6C" w14:textId="4FDDE857" w:rsidR="00A11272" w:rsidRPr="005B70D5" w:rsidRDefault="005B70D5" w:rsidP="005B70D5">
      <w:pPr>
        <w:pStyle w:val="Bibentry"/>
      </w:pPr>
      <w:bookmarkStart w:id="4" w:name="_ENREF_2"/>
      <w:r w:rsidRPr="005B70D5">
        <w:t>&lt;bib id="bib2"&gt;&lt;number&gt;</w:t>
      </w:r>
      <w:r w:rsidR="00A11272" w:rsidRPr="005B70D5">
        <w:t>2.</w:t>
      </w:r>
      <w:r>
        <w:t>&lt;/number&gt;</w:t>
      </w:r>
      <w:r w:rsidR="00A11272" w:rsidRPr="00FB7CC4">
        <w:t xml:space="preserve">Weiss JS, Rapuano CJ, Seitz B, et al. IC3D Classification of Corneal Dystrophies-Edition 3. </w:t>
      </w:r>
      <w:r w:rsidR="00A11272" w:rsidRPr="00FB7CC4">
        <w:rPr>
          <w:i/>
        </w:rPr>
        <w:t xml:space="preserve">Cornea. </w:t>
      </w:r>
      <w:r w:rsidR="00A11272" w:rsidRPr="00FB7CC4">
        <w:t>2024;43(4):466-527.</w:t>
      </w:r>
      <w:bookmarkEnd w:id="4"/>
      <w:r>
        <w:t>&lt;/bib&gt;</w:t>
      </w:r>
    </w:p>
    <w:p w14:paraId="5A0F097E" w14:textId="162AB9B2" w:rsidR="00A11272" w:rsidRPr="005B70D5" w:rsidRDefault="005B70D5" w:rsidP="005B70D5">
      <w:pPr>
        <w:pStyle w:val="Bibentry"/>
      </w:pPr>
      <w:bookmarkStart w:id="5" w:name="_ENREF_3"/>
      <w:r w:rsidRPr="005B70D5">
        <w:t>&lt;bib id="bib3"&gt;&lt;number&gt;</w:t>
      </w:r>
      <w:r w:rsidR="00A11272" w:rsidRPr="005B70D5">
        <w:t>3.</w:t>
      </w:r>
      <w:r>
        <w:t>&lt;/number&gt;</w:t>
      </w:r>
      <w:r w:rsidR="00A11272" w:rsidRPr="00FB7CC4">
        <w:t xml:space="preserve">Bendl J, Musil M, Stourac J, Zendulka J, Damborsky J, Brezovsky J. PredictSNP2: A Unified Platform for Accurately Evaluating SNP Effects by Exploiting the Different Characteristics of Variants in Distinct Genomic Regions. </w:t>
      </w:r>
      <w:r w:rsidR="00A11272" w:rsidRPr="00FB7CC4">
        <w:rPr>
          <w:i/>
        </w:rPr>
        <w:t xml:space="preserve">PLoS Comput Biol. </w:t>
      </w:r>
      <w:r w:rsidR="00A11272" w:rsidRPr="00FB7CC4">
        <w:t>2016;12(5):e1004962.</w:t>
      </w:r>
      <w:bookmarkEnd w:id="5"/>
      <w:r>
        <w:t>&lt;/bib&gt;</w:t>
      </w:r>
    </w:p>
    <w:p w14:paraId="0DEC12D3" w14:textId="6C5D3555" w:rsidR="00A11272" w:rsidRPr="005B70D5" w:rsidRDefault="005B70D5" w:rsidP="005B70D5">
      <w:pPr>
        <w:pStyle w:val="Bibentry"/>
      </w:pPr>
      <w:bookmarkStart w:id="6" w:name="_ENREF_4"/>
      <w:r w:rsidRPr="005B70D5">
        <w:t>&lt;bib id="bib4"&gt;&lt;number&gt;</w:t>
      </w:r>
      <w:r w:rsidR="00A11272" w:rsidRPr="005B70D5">
        <w:t>4.</w:t>
      </w:r>
      <w:r>
        <w:t>&lt;/number&gt;</w:t>
      </w:r>
      <w:r w:rsidR="00A11272" w:rsidRPr="00FB7CC4">
        <w:t xml:space="preserve">Adzhubei IA, Schmidt S, Peshkin L, et al. A method and server for predicting damaging missense mutations. </w:t>
      </w:r>
      <w:r w:rsidR="00A11272" w:rsidRPr="00FB7CC4">
        <w:rPr>
          <w:i/>
        </w:rPr>
        <w:t xml:space="preserve">Nature methods. </w:t>
      </w:r>
      <w:r w:rsidR="00A11272" w:rsidRPr="00FB7CC4">
        <w:t>2010;7(4):248-249.</w:t>
      </w:r>
      <w:bookmarkEnd w:id="6"/>
      <w:r>
        <w:t>&lt;/bib&gt;</w:t>
      </w:r>
    </w:p>
    <w:p w14:paraId="349AD948" w14:textId="555C2C36" w:rsidR="00A11272" w:rsidRPr="005B70D5" w:rsidRDefault="005B70D5" w:rsidP="005B70D5">
      <w:pPr>
        <w:pStyle w:val="Bibentry"/>
      </w:pPr>
      <w:bookmarkStart w:id="7" w:name="_ENREF_5"/>
      <w:r w:rsidRPr="005B70D5">
        <w:t>&lt;bib id="bib5"&gt;&lt;number&gt;</w:t>
      </w:r>
      <w:r w:rsidR="00A11272" w:rsidRPr="005B70D5">
        <w:t>5.</w:t>
      </w:r>
      <w:r>
        <w:t>&lt;/number&gt;</w:t>
      </w:r>
      <w:r w:rsidR="00A11272" w:rsidRPr="00FB7CC4">
        <w:t xml:space="preserve">Boyle AP, Hong EL, Hariharan M, et al. Annotation of functional variation in personal genomes using RegulomeDB. </w:t>
      </w:r>
      <w:r w:rsidR="00A11272" w:rsidRPr="00FB7CC4">
        <w:rPr>
          <w:i/>
          <w:lang w:val="es-ES"/>
        </w:rPr>
        <w:t xml:space="preserve">Genome Res. </w:t>
      </w:r>
      <w:r w:rsidR="00A11272" w:rsidRPr="00FB7CC4">
        <w:rPr>
          <w:lang w:val="es-ES"/>
        </w:rPr>
        <w:t>2012;22(9):1790-1797.</w:t>
      </w:r>
      <w:bookmarkEnd w:id="7"/>
      <w:r>
        <w:t>&lt;/bib&gt;</w:t>
      </w:r>
    </w:p>
    <w:p w14:paraId="338E7493" w14:textId="31792C71" w:rsidR="00A11272" w:rsidRPr="005B70D5" w:rsidRDefault="005B70D5" w:rsidP="005B70D5">
      <w:pPr>
        <w:pStyle w:val="Bibentry"/>
      </w:pPr>
      <w:bookmarkStart w:id="8" w:name="_ENREF_6"/>
      <w:r w:rsidRPr="005B70D5">
        <w:t>&lt;bib id="bib6"&gt;&lt;number&gt;</w:t>
      </w:r>
      <w:r w:rsidR="00A11272" w:rsidRPr="005B70D5">
        <w:t>6.</w:t>
      </w:r>
      <w:r>
        <w:t>&lt;/number&gt;</w:t>
      </w:r>
      <w:r w:rsidR="00A11272" w:rsidRPr="00FB7CC4">
        <w:rPr>
          <w:lang w:val="es-ES"/>
        </w:rPr>
        <w:t xml:space="preserve">Abascal F, Acosta R, Addleman NJ, et al. </w:t>
      </w:r>
      <w:r w:rsidR="00A11272" w:rsidRPr="00FB7CC4">
        <w:t xml:space="preserve">Expanded encyclopaedias of DNA elements in the human and mouse genomes. </w:t>
      </w:r>
      <w:r w:rsidR="00A11272" w:rsidRPr="00FB7CC4">
        <w:rPr>
          <w:i/>
        </w:rPr>
        <w:t xml:space="preserve">Nature. </w:t>
      </w:r>
      <w:r w:rsidR="00A11272" w:rsidRPr="00FB7CC4">
        <w:t>2020;583(7818):699-710.</w:t>
      </w:r>
      <w:bookmarkEnd w:id="8"/>
      <w:r>
        <w:t>&lt;/bib&gt;</w:t>
      </w:r>
    </w:p>
    <w:p w14:paraId="7B1B07EF" w14:textId="6A6C7905" w:rsidR="00A11272" w:rsidRPr="005B70D5" w:rsidRDefault="005B70D5" w:rsidP="005B70D5">
      <w:pPr>
        <w:pStyle w:val="Bibentry"/>
      </w:pPr>
      <w:bookmarkStart w:id="9" w:name="_ENREF_7"/>
      <w:r w:rsidRPr="005B70D5">
        <w:t>&lt;bib id="bib7"&gt;&lt;number&gt;</w:t>
      </w:r>
      <w:r w:rsidR="00A11272" w:rsidRPr="005B70D5">
        <w:t>7.</w:t>
      </w:r>
      <w:r>
        <w:t>&lt;/number&gt;</w:t>
      </w:r>
      <w:r w:rsidR="00A11272" w:rsidRPr="00FB7CC4">
        <w:t xml:space="preserve">Zhou J, Theesfeld CL, Yao K, Chen KM, Wong AK, Troyanskaya OG. Deep learning sequence-based ab initio prediction of variant effects on expression and disease risk. </w:t>
      </w:r>
      <w:r w:rsidR="00A11272" w:rsidRPr="00FB7CC4">
        <w:rPr>
          <w:i/>
        </w:rPr>
        <w:t xml:space="preserve">Nature Genetics. </w:t>
      </w:r>
      <w:r w:rsidR="00A11272" w:rsidRPr="00FB7CC4">
        <w:t>2018;50(8):1171-1179.</w:t>
      </w:r>
      <w:bookmarkEnd w:id="9"/>
      <w:r>
        <w:t>&lt;/bib&gt;</w:t>
      </w:r>
    </w:p>
    <w:p w14:paraId="570C688A" w14:textId="2F3F1A39" w:rsidR="00A11272" w:rsidRPr="005B70D5" w:rsidRDefault="005B70D5" w:rsidP="005B70D5">
      <w:pPr>
        <w:pStyle w:val="Bibentry"/>
      </w:pPr>
      <w:bookmarkStart w:id="10" w:name="_ENREF_8"/>
      <w:r w:rsidRPr="005B70D5">
        <w:t>&lt;bib id="bib8"&gt;&lt;number&gt;</w:t>
      </w:r>
      <w:r w:rsidR="00A11272" w:rsidRPr="005B70D5">
        <w:t>8.</w:t>
      </w:r>
      <w:r>
        <w:t>&lt;/number&gt;</w:t>
      </w:r>
      <w:r w:rsidR="00A11272" w:rsidRPr="00FB7CC4">
        <w:t xml:space="preserve">Consortium EP, Moore JE, Purcaro MJ, et al. Expanded encyclopaedias of DNA elements in the human and mouse genomes. </w:t>
      </w:r>
      <w:r w:rsidR="00A11272" w:rsidRPr="00FB7CC4">
        <w:rPr>
          <w:i/>
        </w:rPr>
        <w:t xml:space="preserve">Nature. </w:t>
      </w:r>
      <w:r w:rsidR="00A11272" w:rsidRPr="00FB7CC4">
        <w:t>2020;583(7818):699-710.</w:t>
      </w:r>
      <w:bookmarkEnd w:id="10"/>
      <w:r>
        <w:t>&lt;/bib&gt;</w:t>
      </w:r>
    </w:p>
    <w:p w14:paraId="121354C5" w14:textId="276CE787" w:rsidR="00A11272" w:rsidRPr="005B70D5" w:rsidRDefault="005B70D5" w:rsidP="005B70D5">
      <w:pPr>
        <w:pStyle w:val="Bibentry"/>
      </w:pPr>
      <w:bookmarkStart w:id="11" w:name="_ENREF_9"/>
      <w:r w:rsidRPr="005B70D5">
        <w:t>&lt;bib id="bib9"&gt;&lt;number&gt;</w:t>
      </w:r>
      <w:r w:rsidR="00A11272" w:rsidRPr="005B70D5">
        <w:t>9.</w:t>
      </w:r>
      <w:r>
        <w:t>&lt;/number&gt;</w:t>
      </w:r>
      <w:r w:rsidR="00A11272" w:rsidRPr="00FB7CC4">
        <w:t xml:space="preserve">Akama TO, Nakayama J, Nishida K, et al. Human corneal GlcNac 6-O-sulfotransferase and mouse intestinal GlcNac 6-O-sulfotransferase both produce keratan sulfate. </w:t>
      </w:r>
      <w:r w:rsidR="00A11272" w:rsidRPr="00FB7CC4">
        <w:rPr>
          <w:i/>
        </w:rPr>
        <w:t xml:space="preserve">J Biol Chem. </w:t>
      </w:r>
      <w:r w:rsidR="00A11272" w:rsidRPr="00FB7CC4">
        <w:t>2001;276(19):16271-16278.</w:t>
      </w:r>
      <w:bookmarkEnd w:id="11"/>
      <w:r>
        <w:t>&lt;/bib&gt;</w:t>
      </w:r>
    </w:p>
    <w:p w14:paraId="0AA7CCDB" w14:textId="71219011" w:rsidR="00A11272" w:rsidRPr="005B70D5" w:rsidRDefault="005B70D5" w:rsidP="005B70D5">
      <w:pPr>
        <w:pStyle w:val="Bibentry"/>
      </w:pPr>
      <w:bookmarkStart w:id="12" w:name="_ENREF_10"/>
      <w:r w:rsidRPr="005B70D5">
        <w:t>&lt;bib id="bib10"&gt;&lt;number&gt;</w:t>
      </w:r>
      <w:r w:rsidR="00A11272" w:rsidRPr="005B70D5">
        <w:t>10.</w:t>
      </w:r>
      <w:r>
        <w:t>&lt;/number&gt;</w:t>
      </w:r>
      <w:r w:rsidR="00A11272" w:rsidRPr="00FB7CC4">
        <w:t xml:space="preserve">Schmedt T, Chen Y, Nguyen TT, Li S, Bonanno JA, Jurkunas UV. Telomerase immortalization of human corneal endothelial cells yields functional hexagonal monolayers. </w:t>
      </w:r>
      <w:r w:rsidR="00A11272" w:rsidRPr="00FB7CC4">
        <w:rPr>
          <w:i/>
        </w:rPr>
        <w:t xml:space="preserve">PLoS One. </w:t>
      </w:r>
      <w:r w:rsidR="00A11272" w:rsidRPr="00FB7CC4">
        <w:t>2012;7(12):e51427.</w:t>
      </w:r>
      <w:bookmarkEnd w:id="12"/>
      <w:r>
        <w:t>&lt;/bib&gt;</w:t>
      </w:r>
    </w:p>
    <w:p w14:paraId="626AA561" w14:textId="14CFB170" w:rsidR="00A11272" w:rsidRPr="005B70D5" w:rsidRDefault="005B70D5" w:rsidP="005B70D5">
      <w:pPr>
        <w:pStyle w:val="Bibentry"/>
      </w:pPr>
      <w:bookmarkStart w:id="13" w:name="_ENREF_11"/>
      <w:r w:rsidRPr="005B70D5">
        <w:t>&lt;bib id="bib11"&gt;&lt;number&gt;</w:t>
      </w:r>
      <w:r w:rsidR="00A11272" w:rsidRPr="005B70D5">
        <w:t>11.</w:t>
      </w:r>
      <w:r>
        <w:t>&lt;/number&gt;</w:t>
      </w:r>
      <w:r w:rsidR="00A11272" w:rsidRPr="00FB7CC4">
        <w:t xml:space="preserve">Jester JV, Huang J, Fisher S, et al. Myofibroblast differentiation of normal human keratocytes and hTERT, extended-life human corneal fibroblasts. </w:t>
      </w:r>
      <w:r w:rsidR="00A11272" w:rsidRPr="00FB7CC4">
        <w:rPr>
          <w:i/>
        </w:rPr>
        <w:t xml:space="preserve">Invest Ophthalmol Vis Sci. </w:t>
      </w:r>
      <w:r w:rsidR="00A11272" w:rsidRPr="00FB7CC4">
        <w:t>2003;44(5):1850-1858.</w:t>
      </w:r>
      <w:bookmarkEnd w:id="13"/>
      <w:r>
        <w:t>&lt;/bib&gt;</w:t>
      </w:r>
    </w:p>
    <w:p w14:paraId="30576071" w14:textId="4D1FA861" w:rsidR="00A11272" w:rsidRPr="005B70D5" w:rsidRDefault="005B70D5" w:rsidP="005B70D5">
      <w:pPr>
        <w:pStyle w:val="Bibentry"/>
      </w:pPr>
      <w:bookmarkStart w:id="14" w:name="_ENREF_12"/>
      <w:r w:rsidRPr="005B70D5">
        <w:t>&lt;bib id="bib12"&gt;&lt;number&gt;</w:t>
      </w:r>
      <w:r w:rsidR="00A11272" w:rsidRPr="005B70D5">
        <w:t>12.</w:t>
      </w:r>
      <w:r>
        <w:t>&lt;/number&gt;</w:t>
      </w:r>
      <w:r w:rsidR="00A11272" w:rsidRPr="00FB7CC4">
        <w:t xml:space="preserve">Tomatsu S, Shimada T, Mason RW, et al. Establishment of glycosaminoglycan assays for mucopolysaccharidoses. </w:t>
      </w:r>
      <w:r w:rsidR="00A11272" w:rsidRPr="00FB7CC4">
        <w:rPr>
          <w:i/>
        </w:rPr>
        <w:t xml:space="preserve">Metabolites. </w:t>
      </w:r>
      <w:r w:rsidR="00A11272" w:rsidRPr="00FB7CC4">
        <w:t>2014;4(3):655-679.</w:t>
      </w:r>
      <w:bookmarkEnd w:id="14"/>
      <w:r>
        <w:t>&lt;/bib&gt;</w:t>
      </w:r>
    </w:p>
    <w:p w14:paraId="231B9F9A" w14:textId="4E56B198" w:rsidR="00A11272" w:rsidRPr="005B70D5" w:rsidRDefault="005B70D5" w:rsidP="005B70D5">
      <w:pPr>
        <w:pStyle w:val="Bibentry"/>
      </w:pPr>
      <w:bookmarkStart w:id="15" w:name="_ENREF_13"/>
      <w:r w:rsidRPr="005B70D5">
        <w:t>&lt;bib id="bib13"&gt;&lt;number&gt;</w:t>
      </w:r>
      <w:r w:rsidR="00A11272" w:rsidRPr="005B70D5">
        <w:t>13.</w:t>
      </w:r>
      <w:r>
        <w:t>&lt;/number&gt;</w:t>
      </w:r>
      <w:r w:rsidR="00A11272" w:rsidRPr="00FB7CC4">
        <w:t xml:space="preserve">Kubaski F, Suzuki Y, Orii K, et al. Glycosaminoglycan levels in dried blood spots of patients with mucopolysaccharidoses and mucolipidoses. </w:t>
      </w:r>
      <w:r w:rsidR="00A11272" w:rsidRPr="00FB7CC4">
        <w:rPr>
          <w:i/>
        </w:rPr>
        <w:t xml:space="preserve">Mol Genet Metab. </w:t>
      </w:r>
      <w:r w:rsidR="00A11272" w:rsidRPr="00FB7CC4">
        <w:t>2017;120(3):247-254.</w:t>
      </w:r>
      <w:bookmarkEnd w:id="15"/>
      <w:r>
        <w:t>&lt;/bib&gt;</w:t>
      </w:r>
    </w:p>
    <w:p w14:paraId="75C69489" w14:textId="4FBD4A38" w:rsidR="00A11272" w:rsidRPr="005B70D5" w:rsidRDefault="005B70D5" w:rsidP="005B70D5">
      <w:pPr>
        <w:pStyle w:val="Bibentry"/>
      </w:pPr>
      <w:bookmarkStart w:id="16" w:name="_ENREF_14"/>
      <w:r w:rsidRPr="005B70D5">
        <w:t>&lt;bib id="bib14"&gt;&lt;number&gt;</w:t>
      </w:r>
      <w:r w:rsidR="00A11272" w:rsidRPr="005B70D5">
        <w:t>14.</w:t>
      </w:r>
      <w:r>
        <w:t>&lt;/number&gt;</w:t>
      </w:r>
      <w:r w:rsidR="00A11272" w:rsidRPr="00FB7CC4">
        <w:t xml:space="preserve">Tavtigian SV, Greenblatt MS, Harrison SM, et al. Modeling the ACMG/AMP variant classification guidelines as a Bayesian classification framework. </w:t>
      </w:r>
      <w:r w:rsidR="00A11272" w:rsidRPr="00FB7CC4">
        <w:rPr>
          <w:i/>
        </w:rPr>
        <w:t xml:space="preserve">Genet Med. </w:t>
      </w:r>
      <w:r w:rsidR="00A11272" w:rsidRPr="00FB7CC4">
        <w:t>2018;20(9):1054-1060.</w:t>
      </w:r>
      <w:bookmarkEnd w:id="16"/>
      <w:r>
        <w:t>&lt;/bib&gt;</w:t>
      </w:r>
    </w:p>
    <w:p w14:paraId="5E3D3172" w14:textId="1CC643B5" w:rsidR="00A11272" w:rsidRPr="005B70D5" w:rsidRDefault="005B70D5" w:rsidP="005B70D5">
      <w:pPr>
        <w:pStyle w:val="Bibentry"/>
      </w:pPr>
      <w:bookmarkStart w:id="17" w:name="_ENREF_15"/>
      <w:r w:rsidRPr="005B70D5">
        <w:t>&lt;bib id="bib15"&gt;&lt;number&gt;</w:t>
      </w:r>
      <w:r w:rsidR="00A11272" w:rsidRPr="005B70D5">
        <w:t>15.</w:t>
      </w:r>
      <w:r>
        <w:t>&lt;/number&gt;</w:t>
      </w:r>
      <w:r w:rsidR="00A11272" w:rsidRPr="00FB7CC4">
        <w:t xml:space="preserve">Brnich SE, Rivera-Munoz EA, Berg JS. Quantifying the potential of functional evidence to reclassify variants of uncertain significance in the categorical and Bayesian interpretation frameworks. </w:t>
      </w:r>
      <w:r w:rsidR="00A11272" w:rsidRPr="00FB7CC4">
        <w:rPr>
          <w:i/>
        </w:rPr>
        <w:t xml:space="preserve">Hum Mutat. </w:t>
      </w:r>
      <w:r w:rsidR="00A11272" w:rsidRPr="00FB7CC4">
        <w:t>2018;39(11):1531-1541.</w:t>
      </w:r>
      <w:bookmarkEnd w:id="17"/>
      <w:r>
        <w:t>&lt;/bib&gt;</w:t>
      </w:r>
    </w:p>
    <w:p w14:paraId="6C9ECEFC" w14:textId="0D21A0CC" w:rsidR="00A11272" w:rsidRPr="005B70D5" w:rsidRDefault="005B70D5" w:rsidP="005B70D5">
      <w:pPr>
        <w:pStyle w:val="Bibentry"/>
      </w:pPr>
      <w:bookmarkStart w:id="18" w:name="_ENREF_16"/>
      <w:r w:rsidRPr="005B70D5">
        <w:t>&lt;bib id="bib16"&gt;&lt;number&gt;</w:t>
      </w:r>
      <w:r w:rsidR="00A11272" w:rsidRPr="005B70D5">
        <w:t>16.</w:t>
      </w:r>
      <w:r>
        <w:t>&lt;/number&gt;</w:t>
      </w:r>
      <w:r w:rsidR="00A11272" w:rsidRPr="00FB7CC4">
        <w:t xml:space="preserve">Harrison SM, Biesecker LG, Rehm HL. Overview of Specifications to the ACMG/AMP Variant Interpretation Guidelines. </w:t>
      </w:r>
      <w:r w:rsidR="00A11272" w:rsidRPr="00FB7CC4">
        <w:rPr>
          <w:i/>
          <w:lang w:val="es-ES"/>
        </w:rPr>
        <w:t xml:space="preserve">Curr Protoc Hum Genet. </w:t>
      </w:r>
      <w:r w:rsidR="00A11272" w:rsidRPr="00FB7CC4">
        <w:rPr>
          <w:lang w:val="es-ES"/>
        </w:rPr>
        <w:t>2019;103(1):e93.</w:t>
      </w:r>
      <w:bookmarkEnd w:id="18"/>
      <w:r>
        <w:t>&lt;/bib&gt;</w:t>
      </w:r>
    </w:p>
    <w:p w14:paraId="23777AF5" w14:textId="0B0A7871" w:rsidR="00A11272" w:rsidRPr="005B70D5" w:rsidRDefault="005B70D5" w:rsidP="005B70D5">
      <w:pPr>
        <w:pStyle w:val="Bibentry"/>
      </w:pPr>
      <w:bookmarkStart w:id="19" w:name="_ENREF_17"/>
      <w:r w:rsidRPr="005B70D5">
        <w:t>&lt;bib id="bib17"&gt;&lt;number&gt;</w:t>
      </w:r>
      <w:r w:rsidR="00A11272" w:rsidRPr="005B70D5">
        <w:t>17.</w:t>
      </w:r>
      <w:r>
        <w:t>&lt;/number&gt;</w:t>
      </w:r>
      <w:r w:rsidR="00A11272" w:rsidRPr="00FB7CC4">
        <w:rPr>
          <w:lang w:val="es-ES"/>
        </w:rPr>
        <w:t xml:space="preserve">Akama TO, Nishida K, Nakayama J, et al. </w:t>
      </w:r>
      <w:r w:rsidR="00A11272" w:rsidRPr="00FB7CC4">
        <w:t xml:space="preserve">Macular corneal dystrophy type I and type II are caused by distinct mutations in a new sulphotransferase gene. </w:t>
      </w:r>
      <w:r w:rsidR="00A11272" w:rsidRPr="00FB7CC4">
        <w:rPr>
          <w:i/>
        </w:rPr>
        <w:t xml:space="preserve">Nat Genet. </w:t>
      </w:r>
      <w:r w:rsidR="00A11272" w:rsidRPr="00FB7CC4">
        <w:t>2000;26(2):237-241.</w:t>
      </w:r>
      <w:bookmarkEnd w:id="19"/>
      <w:r>
        <w:t>&lt;/bib&gt;</w:t>
      </w:r>
    </w:p>
    <w:p w14:paraId="39B4C193" w14:textId="0F810325" w:rsidR="00A11272" w:rsidRPr="005B70D5" w:rsidRDefault="005B70D5" w:rsidP="005B70D5">
      <w:pPr>
        <w:pStyle w:val="Bibentry"/>
      </w:pPr>
      <w:bookmarkStart w:id="20" w:name="_ENREF_18"/>
      <w:r w:rsidRPr="005B70D5">
        <w:t>&lt;bib id="bib18"&gt;&lt;number&gt;</w:t>
      </w:r>
      <w:r w:rsidR="00A11272" w:rsidRPr="005B70D5">
        <w:t>18.</w:t>
      </w:r>
      <w:r>
        <w:t>&lt;/number&gt;</w:t>
      </w:r>
      <w:r w:rsidR="00A11272" w:rsidRPr="00FB7CC4">
        <w:t xml:space="preserve">Richards S, Aziz N, Bale S, et al. Standards and guidelines for the interpretation of sequence variants: a joint consensus recommendation of the American College of Medical Genetics and Genomics and the Association for Molecular Pathology. </w:t>
      </w:r>
      <w:r w:rsidR="00A11272" w:rsidRPr="00FB7CC4">
        <w:rPr>
          <w:i/>
        </w:rPr>
        <w:t xml:space="preserve">Genet Med. </w:t>
      </w:r>
      <w:r w:rsidR="00A11272" w:rsidRPr="00FB7CC4">
        <w:t>2015;17(5):405-424.</w:t>
      </w:r>
      <w:bookmarkEnd w:id="20"/>
      <w:r>
        <w:t>&lt;/bib&gt;</w:t>
      </w:r>
    </w:p>
    <w:p w14:paraId="6673038F" w14:textId="21F898D6" w:rsidR="00A11272" w:rsidRPr="005B70D5" w:rsidRDefault="005B70D5" w:rsidP="005B70D5">
      <w:pPr>
        <w:pStyle w:val="Bibentry"/>
      </w:pPr>
      <w:bookmarkStart w:id="21" w:name="_ENREF_19"/>
      <w:r w:rsidRPr="005B70D5">
        <w:t>&lt;bib id="bib19"&gt;&lt;number&gt;</w:t>
      </w:r>
      <w:r w:rsidR="00A11272" w:rsidRPr="005B70D5">
        <w:t>19.</w:t>
      </w:r>
      <w:r>
        <w:t>&lt;/number&gt;</w:t>
      </w:r>
      <w:r w:rsidR="00A11272" w:rsidRPr="00FB7CC4">
        <w:t xml:space="preserve">Biesecker LG, Harrison SM. The ACMG/AMP reputable source criteria for the interpretation of sequence variants. </w:t>
      </w:r>
      <w:r w:rsidR="00A11272" w:rsidRPr="00FB7CC4">
        <w:rPr>
          <w:i/>
        </w:rPr>
        <w:t xml:space="preserve">Genetics in Medicine. </w:t>
      </w:r>
      <w:r w:rsidR="00A11272" w:rsidRPr="00FB7CC4">
        <w:t>2018;20(12):1687-1688.</w:t>
      </w:r>
      <w:bookmarkEnd w:id="21"/>
      <w:r>
        <w:t>&lt;/bib&gt;</w:t>
      </w:r>
    </w:p>
    <w:p w14:paraId="655C7903" w14:textId="3890D6D7" w:rsidR="00A11272" w:rsidRPr="005B70D5" w:rsidRDefault="005B70D5" w:rsidP="005B70D5">
      <w:pPr>
        <w:pStyle w:val="Bibentry"/>
      </w:pPr>
      <w:bookmarkStart w:id="22" w:name="_ENREF_20"/>
      <w:r w:rsidRPr="005B70D5">
        <w:t>&lt;bib id="bib20"&gt;&lt;number&gt;</w:t>
      </w:r>
      <w:r w:rsidR="00A11272" w:rsidRPr="005B70D5">
        <w:t>20.</w:t>
      </w:r>
      <w:r>
        <w:t>&lt;/number&gt;</w:t>
      </w:r>
      <w:r w:rsidR="00A11272" w:rsidRPr="00FB7CC4">
        <w:t xml:space="preserve">Brnich SE, Abou Tayoun AN, Couch FJ, et al. Recommendations for application of the functional evidence PS3/BS3 criterion using the ACMG/AMP sequence variant interpretation framework. </w:t>
      </w:r>
      <w:r w:rsidR="00A11272" w:rsidRPr="00FB7CC4">
        <w:rPr>
          <w:i/>
        </w:rPr>
        <w:t xml:space="preserve">Genome Medicine. </w:t>
      </w:r>
      <w:r w:rsidR="00A11272" w:rsidRPr="00FB7CC4">
        <w:t>2019;12(1):3.</w:t>
      </w:r>
      <w:bookmarkEnd w:id="22"/>
      <w:r>
        <w:t>&lt;/bib&gt;</w:t>
      </w:r>
    </w:p>
    <w:p w14:paraId="279B4FCB" w14:textId="39604508" w:rsidR="00A11272" w:rsidRPr="005B70D5" w:rsidRDefault="005B70D5" w:rsidP="005B70D5">
      <w:pPr>
        <w:pStyle w:val="Bibentry"/>
      </w:pPr>
      <w:bookmarkStart w:id="23" w:name="_ENREF_21"/>
      <w:r w:rsidRPr="005B70D5">
        <w:t>&lt;bib id="bib21"&gt;&lt;number&gt;</w:t>
      </w:r>
      <w:r w:rsidR="00A11272" w:rsidRPr="005B70D5">
        <w:t>21.</w:t>
      </w:r>
      <w:r>
        <w:t>&lt;/number&gt;</w:t>
      </w:r>
      <w:r w:rsidR="00A11272" w:rsidRPr="00FB7CC4">
        <w:t xml:space="preserve">Ellingford JM, Ahn JW, Bagnall RD, et al. Recommendations for clinical interpretation of variants found in non-coding regions of the genome. </w:t>
      </w:r>
      <w:r w:rsidR="00A11272" w:rsidRPr="00FB7CC4">
        <w:rPr>
          <w:i/>
          <w:lang w:val="es-ES"/>
        </w:rPr>
        <w:t xml:space="preserve">Genome Medicine. </w:t>
      </w:r>
      <w:r w:rsidR="00A11272" w:rsidRPr="00FB7CC4">
        <w:rPr>
          <w:lang w:val="es-ES"/>
        </w:rPr>
        <w:t>2022;14(1):73.</w:t>
      </w:r>
      <w:bookmarkEnd w:id="23"/>
      <w:r>
        <w:t>&lt;/bib&gt;</w:t>
      </w:r>
    </w:p>
    <w:p w14:paraId="0C50E136" w14:textId="401B8C10" w:rsidR="00A11272" w:rsidRPr="005B70D5" w:rsidRDefault="005B70D5" w:rsidP="005B70D5">
      <w:pPr>
        <w:pStyle w:val="Bibentry"/>
      </w:pPr>
      <w:bookmarkStart w:id="24" w:name="_ENREF_22"/>
      <w:r w:rsidRPr="005B70D5">
        <w:t>&lt;bib id="bib22"&gt;&lt;number&gt;</w:t>
      </w:r>
      <w:r w:rsidR="00A11272" w:rsidRPr="005B70D5">
        <w:t>22.</w:t>
      </w:r>
      <w:r>
        <w:t>&lt;/number&gt;</w:t>
      </w:r>
      <w:r w:rsidR="00A11272" w:rsidRPr="00FB7CC4">
        <w:rPr>
          <w:lang w:val="es-ES"/>
        </w:rPr>
        <w:t xml:space="preserve">Liu Z, Tian X, Iida N, et al. </w:t>
      </w:r>
      <w:r w:rsidR="00A11272" w:rsidRPr="00FB7CC4">
        <w:t xml:space="preserve">Mutation analysis of CHST6 gene in Chinese patients with macular corneal dystrophy. </w:t>
      </w:r>
      <w:r w:rsidR="00A11272" w:rsidRPr="00FB7CC4">
        <w:rPr>
          <w:i/>
        </w:rPr>
        <w:t xml:space="preserve">Cornea. </w:t>
      </w:r>
      <w:r w:rsidR="00A11272" w:rsidRPr="00FB7CC4">
        <w:t>2010;29(8):883-888.</w:t>
      </w:r>
      <w:bookmarkEnd w:id="24"/>
      <w:r>
        <w:t>&lt;/bib&gt;</w:t>
      </w:r>
    </w:p>
    <w:p w14:paraId="15DC8C84" w14:textId="2E22B461" w:rsidR="00A11272" w:rsidRPr="005B70D5" w:rsidRDefault="005B70D5" w:rsidP="005B70D5">
      <w:pPr>
        <w:pStyle w:val="Bibentry"/>
      </w:pPr>
      <w:bookmarkStart w:id="25" w:name="_ENREF_23"/>
      <w:r w:rsidRPr="005B70D5">
        <w:t>&lt;bib id="bib23"&gt;&lt;number&gt;</w:t>
      </w:r>
      <w:r w:rsidR="00A11272" w:rsidRPr="005B70D5">
        <w:t>23.</w:t>
      </w:r>
      <w:r>
        <w:t>&lt;/number&gt;</w:t>
      </w:r>
      <w:r w:rsidR="00A11272" w:rsidRPr="00FB7CC4">
        <w:t xml:space="preserve">Gruenauer-Kloevekorn C, Braeutigam S, Heinritz W, Froster UG, Duncker GI. Macular corneal dystrophy: mutational spectrum in German patients, novel mutations and therapeutic options. </w:t>
      </w:r>
      <w:r w:rsidR="00A11272" w:rsidRPr="00FB7CC4">
        <w:rPr>
          <w:i/>
        </w:rPr>
        <w:t xml:space="preserve">Graefes Arch Clin Exp Ophthalmol. </w:t>
      </w:r>
      <w:r w:rsidR="00A11272" w:rsidRPr="00FB7CC4">
        <w:t>2008;246(10):1441-1447.</w:t>
      </w:r>
      <w:bookmarkEnd w:id="25"/>
      <w:r>
        <w:t>&lt;/bib&gt;</w:t>
      </w:r>
    </w:p>
    <w:p w14:paraId="49076AC3" w14:textId="1C85D150" w:rsidR="00A11272" w:rsidRPr="005B70D5" w:rsidRDefault="005B70D5" w:rsidP="005B70D5">
      <w:pPr>
        <w:pStyle w:val="Bibentry"/>
      </w:pPr>
      <w:bookmarkStart w:id="26" w:name="_ENREF_24"/>
      <w:r w:rsidRPr="005B70D5">
        <w:t>&lt;bib id="bib24"&gt;&lt;number&gt;</w:t>
      </w:r>
      <w:r w:rsidR="00A11272" w:rsidRPr="005B70D5">
        <w:t>24.</w:t>
      </w:r>
      <w:r>
        <w:t>&lt;/number&gt;</w:t>
      </w:r>
      <w:r w:rsidR="00A11272" w:rsidRPr="00FB7CC4">
        <w:t xml:space="preserve">Chaurasia S, Mishra DK. Atypical presentation of macular corneal dystrophy managed by Descemet stripping endothelial keratoplasty. </w:t>
      </w:r>
      <w:r w:rsidR="00A11272" w:rsidRPr="00FB7CC4">
        <w:rPr>
          <w:i/>
        </w:rPr>
        <w:t xml:space="preserve">Indian J Ophthalmol. </w:t>
      </w:r>
      <w:r w:rsidR="00A11272" w:rsidRPr="00FB7CC4">
        <w:t>2019;67(1):118-119.</w:t>
      </w:r>
      <w:bookmarkEnd w:id="26"/>
      <w:r>
        <w:t>&lt;/bib&gt;</w:t>
      </w:r>
    </w:p>
    <w:p w14:paraId="3C978744" w14:textId="4648E51B" w:rsidR="00A11272" w:rsidRPr="005B70D5" w:rsidRDefault="005B70D5" w:rsidP="005B70D5">
      <w:pPr>
        <w:pStyle w:val="Bibentry"/>
      </w:pPr>
      <w:bookmarkStart w:id="27" w:name="_ENREF_25"/>
      <w:r w:rsidRPr="005B70D5">
        <w:t>&lt;bib id="bib25"&gt;&lt;number&gt;</w:t>
      </w:r>
      <w:r w:rsidR="00A11272" w:rsidRPr="005B70D5">
        <w:t>25.</w:t>
      </w:r>
      <w:r>
        <w:t>&lt;/number&gt;</w:t>
      </w:r>
      <w:r w:rsidR="00A11272" w:rsidRPr="00FB7CC4">
        <w:t xml:space="preserve">Zhang W, Kassels AC, Barrington A, et al. Macular corneal dystrophy with isolated peripheral Descemet membrane deposits. </w:t>
      </w:r>
      <w:r w:rsidR="00A11272" w:rsidRPr="00FB7CC4">
        <w:rPr>
          <w:i/>
        </w:rPr>
        <w:t xml:space="preserve">Am J Ophthalmol Case Rep. </w:t>
      </w:r>
      <w:r w:rsidR="00A11272" w:rsidRPr="00FB7CC4">
        <w:t>2019;16:100571.</w:t>
      </w:r>
      <w:bookmarkEnd w:id="27"/>
      <w:r>
        <w:t>&lt;/bib&gt;</w:t>
      </w:r>
    </w:p>
    <w:p w14:paraId="1C2D2009" w14:textId="334842A0" w:rsidR="00A11272" w:rsidRPr="005B70D5" w:rsidRDefault="005B70D5" w:rsidP="005B70D5">
      <w:pPr>
        <w:pStyle w:val="Bibentry"/>
      </w:pPr>
      <w:bookmarkStart w:id="28" w:name="_ENREF_26"/>
      <w:r w:rsidRPr="005B70D5">
        <w:t>&lt;bib id="bib26"&gt;&lt;number&gt;</w:t>
      </w:r>
      <w:r w:rsidR="00A11272" w:rsidRPr="005B70D5">
        <w:t>26.</w:t>
      </w:r>
      <w:r>
        <w:t>&lt;/number&gt;</w:t>
      </w:r>
      <w:r w:rsidR="00A11272" w:rsidRPr="00FB7CC4">
        <w:t xml:space="preserve">Ye M, Lu Q, Zhao D, et al. New Endothelial Corneal Dystrophy in a Chinese Family. </w:t>
      </w:r>
      <w:r w:rsidR="00A11272" w:rsidRPr="00FB7CC4">
        <w:rPr>
          <w:i/>
        </w:rPr>
        <w:t xml:space="preserve">Cornea. </w:t>
      </w:r>
      <w:r w:rsidR="00A11272" w:rsidRPr="00FB7CC4">
        <w:t>2023;42(5):529-535.</w:t>
      </w:r>
      <w:bookmarkEnd w:id="28"/>
      <w:r>
        <w:t>&lt;/bib&gt;</w:t>
      </w:r>
    </w:p>
    <w:p w14:paraId="0A32B511" w14:textId="6EF256C0" w:rsidR="00A11272" w:rsidRPr="005B70D5" w:rsidRDefault="005B70D5" w:rsidP="005B70D5">
      <w:pPr>
        <w:pStyle w:val="Bibentry"/>
      </w:pPr>
      <w:bookmarkStart w:id="29" w:name="_ENREF_27"/>
      <w:r w:rsidRPr="005B70D5">
        <w:t>&lt;bib id="bib27"&gt;&lt;number&gt;</w:t>
      </w:r>
      <w:r w:rsidR="00A11272" w:rsidRPr="005B70D5">
        <w:t>27.</w:t>
      </w:r>
      <w:r>
        <w:t>&lt;/number&gt;</w:t>
      </w:r>
      <w:r w:rsidR="00A11272" w:rsidRPr="00FB7CC4">
        <w:t>LUXTURNA (voretigene neparvovec-rzyl) intraocular suspension for subretinal injection [package insert]. Philadelphia, PA: Spark Therapeutics, Inc.; 2022.</w:t>
      </w:r>
      <w:bookmarkEnd w:id="29"/>
      <w:r>
        <w:t>&lt;/bib&gt;</w:t>
      </w:r>
    </w:p>
    <w:p w14:paraId="5658FEB4" w14:textId="03EF3DF1" w:rsidR="00A11272" w:rsidRPr="005B70D5" w:rsidRDefault="005B70D5" w:rsidP="005B70D5">
      <w:pPr>
        <w:pStyle w:val="Bibentry"/>
      </w:pPr>
      <w:bookmarkStart w:id="30" w:name="_ENREF_28"/>
      <w:r w:rsidRPr="005B70D5">
        <w:t>&lt;bib id="bib28"&gt;&lt;number&gt;</w:t>
      </w:r>
      <w:r w:rsidR="00A11272" w:rsidRPr="005B70D5">
        <w:t>28.</w:t>
      </w:r>
      <w:r>
        <w:t>&lt;/number&gt;</w:t>
      </w:r>
      <w:r w:rsidR="00A11272" w:rsidRPr="00FB7CC4">
        <w:t xml:space="preserve">Maguire AM, Bennett J, Aleman EM, Leroy BP, Aleman TS. Clinical Perspective: Treating RPE65-Associated Retinal Dystrophy. </w:t>
      </w:r>
      <w:r w:rsidR="00A11272" w:rsidRPr="00FB7CC4">
        <w:rPr>
          <w:i/>
        </w:rPr>
        <w:t xml:space="preserve">Mol Ther. </w:t>
      </w:r>
      <w:r w:rsidR="00A11272" w:rsidRPr="00FB7CC4">
        <w:t>2021;29(2):442-463.</w:t>
      </w:r>
      <w:bookmarkEnd w:id="30"/>
      <w:r>
        <w:t>&lt;/bib&gt;</w:t>
      </w:r>
    </w:p>
    <w:p w14:paraId="367DDD4D" w14:textId="55F9D402" w:rsidR="005B70D5" w:rsidRPr="005B70D5" w:rsidRDefault="005B70D5" w:rsidP="005B70D5">
      <w:pPr>
        <w:pStyle w:val="Bibentry"/>
      </w:pPr>
      <w:r w:rsidRPr="005B70D5">
        <w:t>&lt;bib id="bib29"&gt;&lt;number&gt;</w:t>
      </w:r>
      <w:r w:rsidR="00A11272" w:rsidRPr="005B70D5">
        <w:t>29.</w:t>
      </w:r>
      <w:r>
        <w:t>&lt;/number&gt;</w:t>
      </w:r>
      <w:r w:rsidR="00A11272" w:rsidRPr="00FB7CC4">
        <w:t xml:space="preserve">Sodi A, Banfi S, Testa F, et al. RPE65-associated inherited retinal diseases: consensus recommendations for eligibility to gene therapy. </w:t>
      </w:r>
      <w:r w:rsidR="00A11272" w:rsidRPr="00FB7CC4">
        <w:rPr>
          <w:i/>
        </w:rPr>
        <w:t xml:space="preserve">Orphanet Journal of Rare Diseases. </w:t>
      </w:r>
      <w:r w:rsidR="00A11272" w:rsidRPr="00FB7CC4">
        <w:t>2021;16(1):257</w:t>
      </w:r>
      <w:r>
        <w:t>&lt;/bib&gt;</w:t>
      </w:r>
    </w:p>
    <w:p w14:paraId="26122323" w14:textId="46A0B684" w:rsidR="005B70D5" w:rsidRDefault="005B70D5" w:rsidP="00FE50C9"/>
    <w:p w14:paraId="56F3ED46" w14:textId="159F948A" w:rsidR="00A11272" w:rsidRPr="00A11272" w:rsidRDefault="00A11272" w:rsidP="00A11272">
      <w:pPr>
        <w:pStyle w:val="FigureCaption"/>
      </w:pPr>
      <w:r w:rsidRPr="00A11272">
        <w:t>Figure 1.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r w:rsidRPr="00A11272">
        <w:t>Figure 2. Clinical findings of affected individuals in Families A (panels A-C), B (D-G) and C (H-J).</w:t>
      </w:r>
      <w:r w:rsidR="00A11272" w:rsidRPr="00A11272">
        <w:t xml:space="preserve"> </w:t>
      </w:r>
      <w:r w:rsidRPr="00A11272">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r w:rsidRPr="00A11272">
        <w:t>Figure 3. Clinical findings of affected individuals in Families D (panels A-D), E (E-F), F (G-H) and G (I).</w:t>
      </w:r>
      <w:r w:rsidR="00A11272" w:rsidRPr="00A11272">
        <w:t xml:space="preserve"> </w:t>
      </w:r>
      <w:r w:rsidRPr="00A11272">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r w:rsidRPr="00A11272">
        <w:t>Figure 4. Functional Assay of CHST6 Mutants.</w:t>
      </w:r>
      <w:r w:rsidR="00A11272" w:rsidRPr="00A11272">
        <w:t xml:space="preserve"> </w:t>
      </w:r>
      <w:r w:rsidRPr="00A11272">
        <w:t xml:space="preserve">(A) </w:t>
      </w:r>
      <w:r w:rsidRPr="00A11272">
        <w:rPr>
          <w:shd w:val="clear" w:color="auto" w:fill="FFFFFF"/>
        </w:rPr>
        <w:t xml:space="preserve">Graphical representation of </w:t>
      </w:r>
      <w:r w:rsidRPr="00A11272">
        <w:rPr>
          <w:i/>
          <w:iCs/>
          <w:shd w:val="clear" w:color="auto" w:fill="FFFFFF"/>
        </w:rPr>
        <w:t xml:space="preserve">CHST6 </w:t>
      </w:r>
      <w:r w:rsidRPr="00A11272">
        <w:rPr>
          <w:shd w:val="clear" w:color="auto" w:fill="FFFFFF"/>
        </w:rPr>
        <w:t xml:space="preserve">gene structure and map of CHST6 promoter-containing expressing vector pcDNA3_CGn6STwPro, showing the relative positions of </w:t>
      </w:r>
      <w:r w:rsidRPr="00A11272">
        <w:rPr>
          <w:i/>
          <w:iCs/>
          <w:shd w:val="clear" w:color="auto" w:fill="FFFFFF"/>
        </w:rPr>
        <w:t>CHST6</w:t>
      </w:r>
      <w:r w:rsidRPr="00A11272">
        <w:rPr>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3017BB92" w14:textId="780AE89D" w:rsidR="00A11272" w:rsidRPr="00A11272" w:rsidRDefault="00B96E91" w:rsidP="00A11272">
      <w:pPr>
        <w:pStyle w:val="FigureCaption"/>
      </w:pPr>
      <w:r w:rsidRPr="00A11272">
        <w:t>Figure 5. Histology and immunohistochemistry of DM from three probands.</w:t>
      </w:r>
    </w:p>
    <w:p w14:paraId="68FC86B9" w14:textId="7EC08758" w:rsidR="00A11272" w:rsidRPr="00643AEB" w:rsidRDefault="00A11272" w:rsidP="00754048">
      <w:pPr>
        <w:pStyle w:val="TableCaption"/>
      </w:pPr>
      <w:r w:rsidRPr="00643AEB">
        <w:t>Table 1. Identified presumed pathogenic CHST6 mutations in families A – G</w:t>
      </w:r>
      <w:r w:rsidR="00643AEB" w:rsidRPr="00643AEB">
        <w:t>.</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574"/>
        <w:gridCol w:w="1446"/>
        <w:gridCol w:w="632"/>
        <w:gridCol w:w="1101"/>
        <w:gridCol w:w="3022"/>
        <w:gridCol w:w="3162"/>
      </w:tblGrid>
      <w:tr w:rsidR="0085140E" w:rsidRPr="00FB7CC4" w14:paraId="1271CE8B" w14:textId="77777777" w:rsidTr="00643AEB">
        <w:tc>
          <w:tcPr>
            <w:tcW w:w="471" w:type="pct"/>
            <w:tcBorders>
              <w:top w:val="single" w:sz="18" w:space="0" w:color="auto"/>
              <w:bottom w:val="single" w:sz="18" w:space="0" w:color="auto"/>
            </w:tcBorders>
            <w:shd w:val="clear" w:color="auto" w:fill="D9D9D9"/>
            <w:vAlign w:val="center"/>
          </w:tcPr>
          <w:p w14:paraId="78EC3808" w14:textId="77777777" w:rsidR="005B70D5" w:rsidRDefault="00B96E91" w:rsidP="00B002A0">
            <w:pPr>
              <w:jc w:val="center"/>
              <w:rPr>
                <w:rFonts w:ascii="Arial" w:hAnsi="Arial" w:cs="Arial"/>
              </w:rPr>
            </w:pPr>
            <w:r w:rsidRPr="00FB7CC4">
              <w:rPr>
                <w:rFonts w:ascii="Arial" w:hAnsi="Arial" w:cs="Arial"/>
              </w:rPr>
              <w:t>Healthy control cornea: full thickness eye bank donor cornea. PCE DM: DM from an individual with pseudophakic corneal edema.</w:t>
            </w:r>
          </w:p>
          <w:p w14:paraId="0AE8D32E" w14:textId="053FBAC1"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top w:val="single" w:sz="18" w:space="0" w:color="auto"/>
              <w:bottom w:val="single" w:sz="18" w:space="0" w:color="auto"/>
            </w:tcBorders>
            <w:shd w:val="clear" w:color="auto" w:fill="D9D9D9"/>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top w:val="single" w:sz="18" w:space="0" w:color="auto"/>
              <w:bottom w:val="single" w:sz="18" w:space="0" w:color="auto"/>
            </w:tcBorders>
            <w:shd w:val="clear" w:color="auto" w:fill="D9D9D9"/>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top w:val="single" w:sz="18" w:space="0" w:color="auto"/>
              <w:bottom w:val="single" w:sz="18" w:space="0" w:color="auto"/>
            </w:tcBorders>
            <w:shd w:val="clear" w:color="auto" w:fill="D9D9D9"/>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top w:val="single" w:sz="18" w:space="0" w:color="auto"/>
              <w:bottom w:val="single" w:sz="18" w:space="0" w:color="auto"/>
            </w:tcBorders>
            <w:shd w:val="clear" w:color="auto" w:fill="D9D9D9"/>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top w:val="single" w:sz="18" w:space="0" w:color="auto"/>
              <w:bottom w:val="single" w:sz="18" w:space="0" w:color="auto"/>
            </w:tcBorders>
            <w:shd w:val="clear" w:color="auto" w:fill="D9D9D9"/>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7E733021" w14:textId="0F4D6EE2" w:rsidR="00FE50C9" w:rsidRPr="00A11272" w:rsidRDefault="0085140E" w:rsidP="00A11272">
      <w:pPr>
        <w:pStyle w:val="TableFootnote"/>
      </w:pPr>
      <w:r w:rsidRPr="00FB7CC4">
        <w:rPr>
          <w:rFonts w:ascii="Arial" w:hAnsi="Arial" w:cs="Arial"/>
        </w:rPr>
        <w:t>►</w:t>
      </w:r>
      <w:r w:rsidRPr="00FB7CC4">
        <w:t xml:space="preserve"> indicates proband. </w:t>
      </w:r>
      <w:r w:rsidRPr="00FB7CC4">
        <w:rPr>
          <w:vertAlign w:val="superscript"/>
        </w:rPr>
        <w:t>1</w:t>
      </w:r>
      <w:r w:rsidRPr="00FB7CC4">
        <w:t xml:space="preserve">rs201767298, no MAF; </w:t>
      </w:r>
      <w:r w:rsidRPr="00FB7CC4">
        <w:rPr>
          <w:vertAlign w:val="superscript"/>
        </w:rPr>
        <w:t>2</w:t>
      </w:r>
      <w:r w:rsidRPr="00FB7CC4">
        <w:t xml:space="preserve">rs1009794816, MAF: 0.000064 (GnomAD), 0.000088 (TOPMED); </w:t>
      </w:r>
      <w:r w:rsidRPr="00FB7CC4">
        <w:rPr>
          <w:vertAlign w:val="superscript"/>
        </w:rPr>
        <w:t>3</w:t>
      </w:r>
      <w:r w:rsidRPr="00FB7CC4">
        <w:t xml:space="preserve">rs72547539, MAF: 0.000064 (GnomAD), 0.000009 (ExAC), 0.00004 (TOPMED), 0.0002 (1000Genome), previously reported to be associated with MCD </w:t>
      </w:r>
      <w:r w:rsidRPr="00FB7CC4">
        <w:rPr>
          <w:noProof/>
          <w:vertAlign w:val="superscript"/>
        </w:rPr>
        <w:t>16</w:t>
      </w:r>
      <w:r w:rsidRPr="00FB7CC4">
        <w:t xml:space="preserve">; </w:t>
      </w:r>
      <w:r w:rsidRPr="00FB7CC4">
        <w:rPr>
          <w:vertAlign w:val="superscript"/>
        </w:rPr>
        <w:t>4</w:t>
      </w:r>
      <w:r w:rsidRPr="00FB7CC4">
        <w:t xml:space="preserve">rs771397083, MAF: 0.000004 (GnomAD), 0 (ExAC), previously reported to be associated with MCD </w:t>
      </w:r>
      <w:r w:rsidRPr="00FB7CC4">
        <w:rPr>
          <w:noProof/>
          <w:vertAlign w:val="superscript"/>
        </w:rPr>
        <w:t>17</w:t>
      </w:r>
      <w:r w:rsidRPr="00FB7CC4">
        <w:t xml:space="preserve">; </w:t>
      </w:r>
      <w:r w:rsidRPr="00FB7CC4">
        <w:rPr>
          <w:vertAlign w:val="superscript"/>
        </w:rPr>
        <w:t>5</w:t>
      </w:r>
      <w:r w:rsidRPr="00FB7CC4">
        <w:t xml:space="preserve">All screened individuals with a c.-690G&gt;C mutation also carry two adjacent common variants </w:t>
      </w:r>
      <w:r w:rsidRPr="00FB7CC4">
        <w:rPr>
          <w:i/>
          <w:iCs/>
        </w:rPr>
        <w:t>in cis</w:t>
      </w:r>
      <w:r w:rsidRPr="00FB7CC4">
        <w:t>: c.-668C&gt;T (rs2550323, TOPMED MAF 0.034) and c.-792C&gt;T (rs2550322, TOPMED MAF 0.114)</w:t>
      </w:r>
    </w:p>
    <w:p w14:paraId="4B2D9D1D" w14:textId="73D82121" w:rsidR="0085140E" w:rsidRPr="00E65DB5" w:rsidRDefault="0085140E" w:rsidP="00754048">
      <w:pPr>
        <w:pStyle w:val="TableCaption"/>
      </w:pPr>
      <w:r w:rsidRPr="00E65DB5">
        <w:t>Table 2. In silico analysis of identified CHST6 mutations</w:t>
      </w:r>
      <w:r w:rsidR="00A11272" w:rsidRPr="00E65DB5">
        <w:t>.</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643AEB">
        <w:trPr>
          <w:jc w:val="center"/>
        </w:trPr>
        <w:tc>
          <w:tcPr>
            <w:tcW w:w="637" w:type="pct"/>
            <w:vMerge w:val="restart"/>
            <w:tcBorders>
              <w:top w:val="single" w:sz="12" w:space="0" w:color="auto"/>
              <w:bottom w:val="nil"/>
            </w:tcBorders>
            <w:shd w:val="clear" w:color="auto" w:fill="D9D9D9"/>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shd w:val="clear" w:color="auto" w:fill="D9D9D9"/>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shd w:val="clear" w:color="auto" w:fill="D9D9D9"/>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shd w:val="clear" w:color="auto" w:fill="D9D9D9"/>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shd w:val="clear" w:color="auto" w:fill="D9D9D9"/>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shd w:val="clear" w:color="auto" w:fill="D9D9D9"/>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643AEB">
        <w:trPr>
          <w:jc w:val="center"/>
        </w:trPr>
        <w:tc>
          <w:tcPr>
            <w:tcW w:w="637" w:type="pct"/>
            <w:vMerge/>
            <w:tcBorders>
              <w:top w:val="nil"/>
              <w:bottom w:val="single" w:sz="12" w:space="0" w:color="auto"/>
            </w:tcBorders>
            <w:shd w:val="clear" w:color="auto" w:fill="D9D9D9"/>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shd w:val="clear" w:color="auto" w:fill="D9D9D9"/>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shd w:val="clear" w:color="auto" w:fill="D9D9D9"/>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shd w:val="clear" w:color="auto" w:fill="D9D9D9"/>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shd w:val="clear" w:color="auto" w:fill="D9D9D9"/>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shd w:val="clear" w:color="auto" w:fill="D9D9D9"/>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shd w:val="clear" w:color="auto" w:fill="D9D9D9"/>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shd w:val="clear" w:color="auto" w:fill="D9D9D9"/>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1973F35A" w14:textId="15BBF2B8" w:rsidR="00FE50C9" w:rsidRPr="00643AEB" w:rsidRDefault="0085140E" w:rsidP="00643AEB">
      <w:pPr>
        <w:pStyle w:val="TableFootnote"/>
        <w:rPr>
          <w:bCs/>
        </w:rPr>
      </w:pPr>
      <w:r w:rsidRPr="00FB7CC4">
        <w:rPr>
          <w:b/>
          <w:vertAlign w:val="superscript"/>
        </w:rPr>
        <w:t>1</w:t>
      </w:r>
      <w:r w:rsidRPr="00FB7CC4">
        <w:t xml:space="preserve">RegulomeDB version 2.0.3 was used. RegulomeDB probability score ranges from 0 to 1, with 1 being most likely to be a regulatory variant; </w:t>
      </w:r>
      <w:r w:rsidRPr="00FB7CC4">
        <w:rPr>
          <w:vertAlign w:val="superscript"/>
        </w:rPr>
        <w:t>2</w:t>
      </w:r>
      <w:r w:rsidRPr="00FB7CC4">
        <w:t xml:space="preserve">PredictSNP2 score ranges from 0 to 1, with 1 being the most likely to be deleterious variant; </w:t>
      </w:r>
      <w:r w:rsidRPr="00FB7CC4">
        <w:rPr>
          <w:b/>
          <w:vertAlign w:val="superscript"/>
        </w:rPr>
        <w:t>3</w:t>
      </w:r>
      <w:r w:rsidRPr="00FB7CC4">
        <w:rPr>
          <w:bCs/>
        </w:rPr>
        <w:t xml:space="preserve">PolyPhen-2 score ranges from 0.0 to 1.0. Variants with scores of 0.0 are predicted to be benign. Values closer to 1.0 are more confidently predicted to be deleterious; </w:t>
      </w:r>
      <w:r w:rsidRPr="00FB7CC4">
        <w:rPr>
          <w:b/>
          <w:vertAlign w:val="superscript"/>
        </w:rPr>
        <w:t>4</w:t>
      </w:r>
      <w:r w:rsidRPr="00FB7CC4">
        <w:rPr>
          <w:bCs/>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bCs/>
          <w:vertAlign w:val="superscript"/>
        </w:rPr>
        <w:t>5</w:t>
      </w:r>
      <w:r w:rsidRPr="00FB7CC4">
        <w:rPr>
          <w:bCs/>
        </w:rPr>
        <w:t>RegulomeDB rank 4 represents “</w:t>
      </w:r>
      <w:r w:rsidRPr="00FB7CC4">
        <w:rPr>
          <w:bCs/>
          <w:shd w:val="clear" w:color="auto" w:fill="FFFFFF"/>
        </w:rPr>
        <w:t xml:space="preserve">TF binding + DNase peak” as supporting data for the variant coordinate; </w:t>
      </w:r>
      <w:r w:rsidRPr="00FB7CC4">
        <w:rPr>
          <w:bCs/>
          <w:shd w:val="clear" w:color="auto" w:fill="FFFFFF"/>
          <w:vertAlign w:val="superscript"/>
        </w:rPr>
        <w:t>6</w:t>
      </w:r>
      <w:r w:rsidRPr="00FB7CC4">
        <w:rPr>
          <w:bCs/>
          <w:shd w:val="clear" w:color="auto" w:fill="FFFFFF"/>
        </w:rPr>
        <w:t xml:space="preserve">RegulomeDB rank 2b represents “TF binding + any motif + DNase Footprint + DNase peak” as supporting data for the variant coordinate; </w:t>
      </w:r>
      <w:r w:rsidRPr="00FB7CC4">
        <w:rPr>
          <w:bCs/>
          <w:shd w:val="clear" w:color="auto" w:fill="FFFFFF"/>
          <w:vertAlign w:val="superscript"/>
        </w:rPr>
        <w:t>7</w:t>
      </w:r>
      <w:r w:rsidRPr="00FB7CC4">
        <w:rPr>
          <w:bCs/>
        </w:rPr>
        <w:t xml:space="preserve">EZH2, enhancer of zeste homolog 2, is a histone-lysine N-methyltransferase enzyme; </w:t>
      </w:r>
      <w:r w:rsidRPr="00FB7CC4">
        <w:rPr>
          <w:bCs/>
          <w:vertAlign w:val="superscript"/>
        </w:rPr>
        <w:t>8</w:t>
      </w:r>
      <w:r w:rsidRPr="00FB7CC4">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r w:rsidRPr="00643AEB">
        <w:t>Table 3. Serum glycosaminoglycan levels in enrolled individuals with and without PMED</w:t>
      </w:r>
      <w:r w:rsidR="00643AEB">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643AEB">
        <w:trPr>
          <w:gridAfter w:val="1"/>
          <w:wAfter w:w="32" w:type="pct"/>
          <w:trHeight w:val="276"/>
          <w:jc w:val="center"/>
        </w:trPr>
        <w:tc>
          <w:tcPr>
            <w:tcW w:w="588" w:type="pct"/>
            <w:gridSpan w:val="2"/>
            <w:vMerge w:val="restart"/>
            <w:tcBorders>
              <w:top w:val="single" w:sz="12" w:space="0" w:color="auto"/>
            </w:tcBorders>
            <w:shd w:val="clear" w:color="auto" w:fill="D9D9D9"/>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tcBorders>
              <w:top w:val="single" w:sz="12" w:space="0" w:color="auto"/>
            </w:tcBorders>
            <w:shd w:val="clear" w:color="auto" w:fill="D9D9D9"/>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tcBorders>
              <w:top w:val="single" w:sz="12" w:space="0" w:color="auto"/>
            </w:tcBorders>
            <w:shd w:val="clear" w:color="auto" w:fill="D9D9D9"/>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top w:val="single" w:sz="12" w:space="0" w:color="auto"/>
              <w:bottom w:val="single" w:sz="8" w:space="0" w:color="auto"/>
            </w:tcBorders>
            <w:shd w:val="clear" w:color="auto" w:fill="D9D9D9"/>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shd w:val="clear" w:color="auto" w:fill="D9D9D9"/>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12" w:space="0" w:color="auto"/>
              <w:bottom w:val="single" w:sz="8" w:space="0" w:color="auto"/>
            </w:tcBorders>
            <w:shd w:val="clear" w:color="auto" w:fill="D9D9D9"/>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shd w:val="clear" w:color="auto" w:fill="D9D9D9"/>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tcBorders>
              <w:top w:val="single" w:sz="12" w:space="0" w:color="auto"/>
            </w:tcBorders>
            <w:shd w:val="clear" w:color="auto" w:fill="D9D9D9"/>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643AEB">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shd w:val="clear" w:color="auto" w:fill="D9D9D9"/>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shd w:val="clear" w:color="auto" w:fill="D9D9D9"/>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shd w:val="clear" w:color="auto" w:fill="D9D9D9"/>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shd w:val="clear" w:color="auto" w:fill="D9D9D9"/>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shd w:val="clear" w:color="auto" w:fill="D9D9D9"/>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shd w:val="clear" w:color="auto" w:fill="D9D9D9"/>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shd w:val="clear" w:color="auto" w:fill="D9D9D9"/>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shd w:val="clear" w:color="auto" w:fill="D9D9D9"/>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shd w:val="clear" w:color="auto" w:fill="D9D9D9"/>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06573B04" w14:textId="4F7D06F7" w:rsidR="00FE50C9" w:rsidRPr="00371CC1" w:rsidRDefault="0085140E" w:rsidP="00371CC1">
      <w:pPr>
        <w:pStyle w:val="TableFootnote"/>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serum sample collection; </w:t>
      </w:r>
      <w:r w:rsidRPr="00FB7CC4">
        <w:rPr>
          <w:vertAlign w:val="superscript"/>
        </w:rPr>
        <w:t>2</w:t>
      </w:r>
      <w:r w:rsidRPr="00FB7CC4">
        <w:t xml:space="preserve">Di-S KS: di-sulfated KS, Gal(6S)β1 → 4GlcNAc(6S); </w:t>
      </w:r>
      <w:r w:rsidRPr="00FB7CC4">
        <w:rPr>
          <w:vertAlign w:val="superscript"/>
        </w:rPr>
        <w:t>3</w:t>
      </w:r>
      <w:r w:rsidRPr="00FB7CC4">
        <w:t xml:space="preserve">Mono-S KS: mono-sulfated KS, Galβ1 → 4GlcNAc(6S); </w:t>
      </w:r>
      <w:r w:rsidRPr="00FB7CC4">
        <w:rPr>
          <w:vertAlign w:val="superscript"/>
        </w:rPr>
        <w:t>4</w:t>
      </w:r>
      <w:r w:rsidRPr="00FB7CC4">
        <w:t xml:space="preserve">∆Di-4S [∆HexUAα1–4GlcNAc(4-O-sulfate)]: 2-acetamido-2-deoxy-4-O-(4-deoxy-a-L-threohex-4-enopyranosyluronic acid)-4-O-sulfo-D-glucose; </w:t>
      </w:r>
      <w:r w:rsidRPr="00FB7CC4">
        <w:rPr>
          <w:vertAlign w:val="superscript"/>
        </w:rPr>
        <w:t>5</w:t>
      </w:r>
      <w:r w:rsidRPr="00FB7CC4">
        <w:t xml:space="preserve">∆DiHS-NS [∆HexUAα1-4GlcN(2-N-sulfate)]: 2-deoxy-2-sulfamino-4-O-(4-deoxy-a-L-threo-hex-4-enopyranosyluronic acid)-D-glucose; </w:t>
      </w:r>
      <w:r w:rsidRPr="00FB7CC4">
        <w:rPr>
          <w:vertAlign w:val="superscript"/>
        </w:rPr>
        <w:t>6</w:t>
      </w:r>
      <w:r w:rsidRPr="00FB7CC4">
        <w:t xml:space="preserve">∆DiHS-oS (∆HexUAα1–4GlcNAc): 2-acetamido-2-deoxy-4-O-(4-deoxy-a-L-threo-hex-4-nopyranosyluronic acid) -D-glucose; </w:t>
      </w:r>
      <w:r w:rsidRPr="00FB7CC4">
        <w:rPr>
          <w:vertAlign w:val="superscript"/>
        </w:rPr>
        <w:t>7</w:t>
      </w:r>
      <w:r w:rsidRPr="00FB7CC4">
        <w:t xml:space="preserve">Spouse of individual II-2 from family E; </w:t>
      </w:r>
      <w:r w:rsidRPr="00FB7CC4">
        <w:rPr>
          <w:vertAlign w:val="superscript"/>
        </w:rPr>
        <w:t>8</w:t>
      </w:r>
      <w:r w:rsidRPr="00FB7CC4">
        <w:t>Individuals clinically diagnosed with Fleck Corneal Dystrophy</w:t>
      </w:r>
    </w:p>
    <w:p w14:paraId="06F661F5" w14:textId="18FB5677" w:rsidR="0085140E" w:rsidRPr="00371CC1" w:rsidRDefault="0085140E" w:rsidP="00754048">
      <w:pPr>
        <w:pStyle w:val="TableCaption"/>
      </w:pPr>
      <w:r w:rsidRPr="00371CC1">
        <w:t>Table 4. DBS glycosaminoglycan levels in enrolled individuals with and without PMED</w:t>
      </w:r>
      <w:r w:rsidR="00371CC1">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371CC1">
        <w:trPr>
          <w:trHeight w:val="276"/>
          <w:jc w:val="center"/>
        </w:trPr>
        <w:tc>
          <w:tcPr>
            <w:tcW w:w="590" w:type="pct"/>
            <w:gridSpan w:val="2"/>
            <w:vMerge w:val="restart"/>
            <w:tcBorders>
              <w:top w:val="single" w:sz="12" w:space="0" w:color="auto"/>
            </w:tcBorders>
            <w:shd w:val="clear" w:color="auto" w:fill="D9D9D9"/>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tcBorders>
              <w:top w:val="single" w:sz="12" w:space="0" w:color="auto"/>
            </w:tcBorders>
            <w:shd w:val="clear" w:color="auto" w:fill="D9D9D9"/>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tcBorders>
              <w:top w:val="single" w:sz="12" w:space="0" w:color="auto"/>
            </w:tcBorders>
            <w:shd w:val="clear" w:color="auto" w:fill="D9D9D9"/>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top w:val="single" w:sz="12" w:space="0" w:color="auto"/>
              <w:bottom w:val="single" w:sz="8" w:space="0" w:color="auto"/>
            </w:tcBorders>
            <w:shd w:val="clear" w:color="auto" w:fill="D9D9D9"/>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shd w:val="clear" w:color="auto" w:fill="D9D9D9"/>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12" w:space="0" w:color="auto"/>
              <w:bottom w:val="single" w:sz="8" w:space="0" w:color="auto"/>
            </w:tcBorders>
            <w:shd w:val="clear" w:color="auto" w:fill="D9D9D9"/>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shd w:val="clear" w:color="auto" w:fill="D9D9D9"/>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tcBorders>
              <w:top w:val="single" w:sz="12" w:space="0" w:color="auto"/>
            </w:tcBorders>
            <w:shd w:val="clear" w:color="auto" w:fill="D9D9D9"/>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371CC1">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shd w:val="clear" w:color="auto" w:fill="D9D9D9"/>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shd w:val="clear" w:color="auto" w:fill="D9D9D9"/>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shd w:val="clear" w:color="auto" w:fill="D9D9D9"/>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shd w:val="clear" w:color="auto" w:fill="D9D9D9"/>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shd w:val="clear" w:color="auto" w:fill="D9D9D9"/>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shd w:val="clear" w:color="auto" w:fill="D9D9D9"/>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shd w:val="clear" w:color="auto" w:fill="D9D9D9"/>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shd w:val="clear" w:color="auto" w:fill="D9D9D9"/>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29DE9EAC" w14:textId="3FFC3D50" w:rsidR="00FE50C9" w:rsidRPr="00754048" w:rsidRDefault="0085140E" w:rsidP="00754048">
      <w:pPr>
        <w:pStyle w:val="TableFootnote"/>
        <w:rPr>
          <w:vertAlign w:val="superscript"/>
        </w:rPr>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DBS sample collection; </w:t>
      </w:r>
      <w:r w:rsidRPr="00FB7CC4">
        <w:rPr>
          <w:vertAlign w:val="superscript"/>
        </w:rPr>
        <w:t>2</w:t>
      </w:r>
      <w:r w:rsidRPr="00FB7CC4">
        <w:t xml:space="preserve">Di-S KS: di-sulfated KS, Gal(6S)β1 → 4GlcNAc(6S); </w:t>
      </w:r>
      <w:r w:rsidRPr="00FB7CC4">
        <w:rPr>
          <w:vertAlign w:val="superscript"/>
        </w:rPr>
        <w:t>3</w:t>
      </w:r>
      <w:r w:rsidRPr="00FB7CC4">
        <w:t xml:space="preserve">Mono-S KS: mono-sulfated KS, Galβ1 → 4GlcNAc(6S); </w:t>
      </w:r>
      <w:r w:rsidRPr="00FB7CC4">
        <w:rPr>
          <w:vertAlign w:val="superscript"/>
        </w:rPr>
        <w:t>4</w:t>
      </w:r>
      <w:r w:rsidRPr="00FB7CC4">
        <w:t xml:space="preserve">∆Di-4S [∆HexUAα1–4GlcNAc(4-O-sulfate)]: 2-acetamido-2-deoxy-4-O-(4-deoxy-a-L-threohex-4-enopyranosyluronic acid)-4-O-sulfo-D-glucose; </w:t>
      </w:r>
      <w:r w:rsidRPr="00FB7CC4">
        <w:rPr>
          <w:vertAlign w:val="superscript"/>
        </w:rPr>
        <w:t>5</w:t>
      </w:r>
      <w:r w:rsidRPr="00FB7CC4">
        <w:t xml:space="preserve">∆DiHS-NS [∆HexUAα1-4GlcN(2-N-sulfate)]: 2-deoxy-2-sulfamino-4-O-(4-deoxy-a-L-threo-hex-4-enopyranosyluronic acid)-D-glucose; </w:t>
      </w:r>
      <w:r w:rsidRPr="00FB7CC4">
        <w:rPr>
          <w:vertAlign w:val="superscript"/>
        </w:rPr>
        <w:t>6</w:t>
      </w:r>
      <w:r w:rsidRPr="00FB7CC4">
        <w:t>∆DiHS-oS (∆HexUAα1–4GlcNAc): 2-acetamido-2-deoxy-4-O-(4-deoxy-a-L-threo-hex-4-nopyranosyluronic acid) -D-glucose</w:t>
      </w:r>
    </w:p>
    <w:p w14:paraId="2C4D6044" w14:textId="4D9080F7" w:rsidR="0085140E" w:rsidRPr="00754048" w:rsidRDefault="0085140E" w:rsidP="00754048">
      <w:pPr>
        <w:pStyle w:val="TableCaption"/>
      </w:pPr>
      <w:r w:rsidRPr="00754048">
        <w:t>Table 5. ACMG/AMP guideline scoring of identified CHST6 variants</w:t>
      </w:r>
      <w:r w:rsidR="00754048" w:rsidRPr="00754048">
        <w:t>.</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754048">
        <w:trPr>
          <w:trHeight w:val="19"/>
          <w:jc w:val="center"/>
        </w:trPr>
        <w:tc>
          <w:tcPr>
            <w:tcW w:w="1073"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D9D9D9"/>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42899F8" w14:textId="77777777" w:rsidR="005B70D5" w:rsidRDefault="0085140E" w:rsidP="00754048">
      <w:pPr>
        <w:pStyle w:val="TableFootnote"/>
      </w:pPr>
      <w:r w:rsidRPr="00FB7CC4">
        <w:rPr>
          <w:bCs/>
          <w:kern w:val="24"/>
          <w:vertAlign w:val="superscript"/>
        </w:rPr>
        <w:t>1</w:t>
      </w:r>
      <w:r w:rsidRPr="00FB7CC4">
        <w:rPr>
          <w:lang w:eastAsia="zh-CN"/>
        </w:rPr>
        <w:t>OddsPath ratio cut-off values for Supporting, Moderate, Strong, and Very Strong pathogenic evidence are 2, 4.3, 18.7, and 350, respectively</w:t>
      </w:r>
      <w:r w:rsidRPr="00FB7CC4">
        <w:rPr>
          <w:noProof/>
          <w:vertAlign w:val="superscript"/>
          <w:lang w:eastAsia="zh-CN"/>
        </w:rPr>
        <w:t>13</w:t>
      </w:r>
    </w:p>
    <w:p w14:paraId="24A780F5" w14:textId="77777777" w:rsidR="005B70D5" w:rsidRDefault="005B70D5" w:rsidP="007B3323">
      <w:pPr>
        <w:spacing w:line="480" w:lineRule="auto"/>
      </w:pPr>
    </w:p>
    <w:p w14:paraId="7569559F" w14:textId="77777777" w:rsidR="00FE50C9" w:rsidRPr="00FE50C9" w:rsidRDefault="00FE50C9" w:rsidP="00FE50C9"/>
    <w:sectPr w:rsidR="00FE50C9" w:rsidRPr="00FE50C9" w:rsidSect="00FE50C9">
      <w:headerReference w:type="default" r:id="rId8"/>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3D12E" w14:textId="77777777" w:rsidR="00720ADB" w:rsidRDefault="00720ADB" w:rsidP="00E0208D">
      <w:r>
        <w:separator/>
      </w:r>
    </w:p>
  </w:endnote>
  <w:endnote w:type="continuationSeparator" w:id="0">
    <w:p w14:paraId="27BCB377" w14:textId="77777777" w:rsidR="00720ADB" w:rsidRDefault="00720ADB"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CE7C" w14:textId="77777777" w:rsidR="00720ADB" w:rsidRDefault="00720ADB" w:rsidP="00E0208D">
      <w:r>
        <w:separator/>
      </w:r>
    </w:p>
  </w:footnote>
  <w:footnote w:type="continuationSeparator" w:id="0">
    <w:p w14:paraId="34F8AE4B" w14:textId="77777777" w:rsidR="00720ADB" w:rsidRDefault="00720ADB"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272"/>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26FB"/>
    <w:rsid w:val="00FE281E"/>
    <w:rsid w:val="00FE3339"/>
    <w:rsid w:val="00FE50C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D5"/>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autoRedefine/>
    <w:uiPriority w:val="9"/>
    <w:qFormat/>
    <w:rsid w:val="005B70D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70D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70D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B70D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B70D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B70D5"/>
    <w:pPr>
      <w:keepNext/>
      <w:numPr>
        <w:ilvl w:val="5"/>
        <w:numId w:val="1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B70D5"/>
    <w:pPr>
      <w:keepNext/>
      <w:numPr>
        <w:ilvl w:val="6"/>
        <w:numId w:val="1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B70D5"/>
    <w:pPr>
      <w:keepNext/>
      <w:numPr>
        <w:ilvl w:val="7"/>
        <w:numId w:val="1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B70D5"/>
    <w:pPr>
      <w:keepNext/>
      <w:numPr>
        <w:ilvl w:val="8"/>
        <w:numId w:val="1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5B7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70D5"/>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5B70D5"/>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5B7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70D5"/>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5B70D5"/>
    <w:rPr>
      <w:vertAlign w:val="superscript"/>
    </w:rPr>
  </w:style>
  <w:style w:type="character" w:styleId="CommentReference">
    <w:name w:val="annotation reference"/>
    <w:basedOn w:val="DefaultParagraphFont"/>
    <w:semiHidden/>
    <w:rsid w:val="005B70D5"/>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5B70D5"/>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5B70D5"/>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5B70D5"/>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5B70D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5B70D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5B70D5"/>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5B70D5"/>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5B70D5"/>
    <w:rPr>
      <w:color w:val="954F72" w:themeColor="followedHyperlink"/>
      <w:u w:val="single"/>
    </w:rPr>
  </w:style>
  <w:style w:type="character" w:customStyle="1" w:styleId="Heading2Char">
    <w:name w:val="Heading 2 Char"/>
    <w:basedOn w:val="DefaultParagraphFont"/>
    <w:link w:val="Heading2"/>
    <w:uiPriority w:val="9"/>
    <w:rsid w:val="005B70D5"/>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5B70D5"/>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5B70D5"/>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5B70D5"/>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5B70D5"/>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5B70D5"/>
    <w:rPr>
      <w:rFonts w:asciiTheme="minorHAnsi" w:eastAsia="Times New Roman" w:hAnsiTheme="minorHAnsi" w:cs="Arial"/>
      <w:i/>
      <w:sz w:val="24"/>
      <w:szCs w:val="22"/>
      <w:lang w:val="en-GB" w:eastAsia="en-US" w:bidi="ar-DZ"/>
    </w:rPr>
  </w:style>
  <w:style w:type="paragraph" w:customStyle="1" w:styleId="Abstract">
    <w:name w:val="Abstract"/>
    <w:qFormat/>
    <w:rsid w:val="005B70D5"/>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5B70D5"/>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5B70D5"/>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5B70D5"/>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5B70D5"/>
    <w:rPr>
      <w:vertAlign w:val="superscript"/>
    </w:rPr>
  </w:style>
  <w:style w:type="paragraph" w:customStyle="1" w:styleId="Head1">
    <w:name w:val="Head1"/>
    <w:rsid w:val="005B70D5"/>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5B70D5"/>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5B70D5"/>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5B70D5"/>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5B70D5"/>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5B70D5"/>
    <w:rPr>
      <w:color w:val="ED7D31" w:themeColor="accent2"/>
    </w:rPr>
  </w:style>
  <w:style w:type="paragraph" w:customStyle="1" w:styleId="Titledocument">
    <w:name w:val="Title_document"/>
    <w:autoRedefine/>
    <w:qFormat/>
    <w:rsid w:val="005B70D5"/>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5B70D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B70D5"/>
    <w:rPr>
      <w:color w:val="auto"/>
      <w:bdr w:val="none" w:sz="0" w:space="0" w:color="auto"/>
      <w:shd w:val="clear" w:color="auto" w:fill="FFFF49"/>
    </w:rPr>
  </w:style>
  <w:style w:type="paragraph" w:customStyle="1" w:styleId="RectoRRH">
    <w:name w:val="Recto_(RRH)"/>
    <w:autoRedefine/>
    <w:qFormat/>
    <w:rsid w:val="005B70D5"/>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5B70D5"/>
    <w:rPr>
      <w:color w:val="auto"/>
      <w:bdr w:val="none" w:sz="0" w:space="0" w:color="auto"/>
      <w:shd w:val="clear" w:color="auto" w:fill="FF3300"/>
    </w:rPr>
  </w:style>
  <w:style w:type="paragraph" w:customStyle="1" w:styleId="VersoLRH">
    <w:name w:val="Verso_(LRH)"/>
    <w:autoRedefine/>
    <w:qFormat/>
    <w:rsid w:val="005B70D5"/>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5B70D5"/>
    <w:rPr>
      <w:color w:val="auto"/>
      <w:bdr w:val="none" w:sz="0" w:space="0" w:color="auto"/>
      <w:shd w:val="clear" w:color="auto" w:fill="FFCC66"/>
    </w:rPr>
  </w:style>
  <w:style w:type="character" w:customStyle="1" w:styleId="Pages">
    <w:name w:val="Pages"/>
    <w:basedOn w:val="DefaultParagraphFont"/>
    <w:uiPriority w:val="1"/>
    <w:qFormat/>
    <w:rsid w:val="005B70D5"/>
    <w:rPr>
      <w:color w:val="auto"/>
      <w:bdr w:val="none" w:sz="0" w:space="0" w:color="auto"/>
      <w:shd w:val="clear" w:color="auto" w:fill="D279FF"/>
    </w:rPr>
  </w:style>
  <w:style w:type="character" w:customStyle="1" w:styleId="Degree">
    <w:name w:val="Degree"/>
    <w:basedOn w:val="DefaultParagraphFont"/>
    <w:uiPriority w:val="1"/>
    <w:qFormat/>
    <w:rsid w:val="005B70D5"/>
    <w:rPr>
      <w:color w:val="auto"/>
      <w:bdr w:val="none" w:sz="0" w:space="0" w:color="auto"/>
      <w:shd w:val="clear" w:color="auto" w:fill="00C400"/>
    </w:rPr>
  </w:style>
  <w:style w:type="character" w:customStyle="1" w:styleId="Role">
    <w:name w:val="Role"/>
    <w:basedOn w:val="DefaultParagraphFont"/>
    <w:uiPriority w:val="1"/>
    <w:qFormat/>
    <w:rsid w:val="005B70D5"/>
    <w:rPr>
      <w:color w:val="92D050"/>
    </w:rPr>
  </w:style>
  <w:style w:type="paragraph" w:customStyle="1" w:styleId="AbsHead">
    <w:name w:val="AbsHead"/>
    <w:link w:val="AbsHeadChar"/>
    <w:autoRedefine/>
    <w:qFormat/>
    <w:rsid w:val="005B70D5"/>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5B70D5"/>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5B70D5"/>
    <w:rPr>
      <w:color w:val="FF0000"/>
    </w:rPr>
  </w:style>
  <w:style w:type="paragraph" w:customStyle="1" w:styleId="AckHead">
    <w:name w:val="AckHead"/>
    <w:link w:val="AckHeadChar"/>
    <w:autoRedefine/>
    <w:qFormat/>
    <w:rsid w:val="005B70D5"/>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5B70D5"/>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5B70D5"/>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5B70D5"/>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5B70D5"/>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5B70D5"/>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5B70D5"/>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5B70D5"/>
    <w:rPr>
      <w:color w:val="auto"/>
      <w:bdr w:val="none" w:sz="0" w:space="0" w:color="auto"/>
      <w:shd w:val="clear" w:color="auto" w:fill="CCCCFF"/>
    </w:rPr>
  </w:style>
  <w:style w:type="paragraph" w:customStyle="1" w:styleId="AuthNotes">
    <w:name w:val="AuthNotes"/>
    <w:qFormat/>
    <w:rsid w:val="005B70D5"/>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5B70D5"/>
    <w:rPr>
      <w:color w:val="FFC000" w:themeColor="accent4"/>
    </w:rPr>
  </w:style>
  <w:style w:type="paragraph" w:customStyle="1" w:styleId="Authors">
    <w:name w:val="Authors"/>
    <w:link w:val="AuthorsChar"/>
    <w:autoRedefine/>
    <w:qFormat/>
    <w:rsid w:val="005B70D5"/>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5B70D5"/>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5B70D5"/>
    <w:rPr>
      <w:color w:val="auto"/>
      <w:bdr w:val="none" w:sz="0" w:space="0" w:color="auto"/>
      <w:shd w:val="clear" w:color="auto" w:fill="FFD9B3"/>
    </w:rPr>
  </w:style>
  <w:style w:type="paragraph" w:customStyle="1" w:styleId="BoxText">
    <w:name w:val="BoxText"/>
    <w:qFormat/>
    <w:rsid w:val="005B70D5"/>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5B70D5"/>
    <w:rPr>
      <w:rFonts w:asciiTheme="majorHAnsi" w:hAnsiTheme="majorHAnsi" w:cs="Times New Roman"/>
      <w:sz w:val="24"/>
      <w:szCs w:val="24"/>
    </w:rPr>
  </w:style>
  <w:style w:type="character" w:customStyle="1" w:styleId="City">
    <w:name w:val="City"/>
    <w:basedOn w:val="DefaultParagraphFont"/>
    <w:uiPriority w:val="1"/>
    <w:qFormat/>
    <w:rsid w:val="005B70D5"/>
    <w:rPr>
      <w:color w:val="auto"/>
      <w:bdr w:val="none" w:sz="0" w:space="0" w:color="auto"/>
      <w:shd w:val="clear" w:color="auto" w:fill="66FFFF"/>
    </w:rPr>
  </w:style>
  <w:style w:type="character" w:customStyle="1" w:styleId="Collab">
    <w:name w:val="Collab"/>
    <w:basedOn w:val="DefaultParagraphFont"/>
    <w:uiPriority w:val="1"/>
    <w:qFormat/>
    <w:rsid w:val="005B70D5"/>
    <w:rPr>
      <w:color w:val="auto"/>
      <w:bdr w:val="none" w:sz="0" w:space="0" w:color="auto"/>
      <w:shd w:val="clear" w:color="auto" w:fill="5F5F5F"/>
    </w:rPr>
  </w:style>
  <w:style w:type="character" w:customStyle="1" w:styleId="ConfDate">
    <w:name w:val="ConfDate"/>
    <w:basedOn w:val="DefaultParagraphFont"/>
    <w:uiPriority w:val="1"/>
    <w:rsid w:val="005B70D5"/>
    <w:rPr>
      <w:rFonts w:ascii="Times New Roman" w:hAnsi="Times New Roman"/>
      <w:color w:val="FF0066"/>
      <w:sz w:val="20"/>
    </w:rPr>
  </w:style>
  <w:style w:type="character" w:customStyle="1" w:styleId="ConfLoc">
    <w:name w:val="ConfLoc"/>
    <w:basedOn w:val="DefaultParagraphFont"/>
    <w:uiPriority w:val="1"/>
    <w:rsid w:val="005B70D5"/>
    <w:rPr>
      <w:color w:val="003300"/>
      <w:bdr w:val="none" w:sz="0" w:space="0" w:color="auto"/>
      <w:shd w:val="clear" w:color="auto" w:fill="9999FF"/>
    </w:rPr>
  </w:style>
  <w:style w:type="character" w:customStyle="1" w:styleId="ConfName">
    <w:name w:val="ConfName"/>
    <w:basedOn w:val="DefaultParagraphFont"/>
    <w:uiPriority w:val="1"/>
    <w:qFormat/>
    <w:rsid w:val="005B70D5"/>
    <w:rPr>
      <w:color w:val="15BDBD"/>
    </w:rPr>
  </w:style>
  <w:style w:type="paragraph" w:customStyle="1" w:styleId="Correspondence">
    <w:name w:val="Correspondence"/>
    <w:basedOn w:val="Normal"/>
    <w:link w:val="CorrespondenceChar"/>
    <w:autoRedefine/>
    <w:qFormat/>
    <w:rsid w:val="005B70D5"/>
    <w:rPr>
      <w:color w:val="1F4E79" w:themeColor="accent5" w:themeShade="80"/>
    </w:rPr>
  </w:style>
  <w:style w:type="character" w:customStyle="1" w:styleId="CorrespondenceChar">
    <w:name w:val="Correspondence Char"/>
    <w:basedOn w:val="DefaultParagraphFont"/>
    <w:link w:val="Correspondence"/>
    <w:rsid w:val="005B70D5"/>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5B70D5"/>
    <w:rPr>
      <w:color w:val="auto"/>
      <w:bdr w:val="none" w:sz="0" w:space="0" w:color="auto"/>
      <w:shd w:val="clear" w:color="auto" w:fill="00A5E0"/>
    </w:rPr>
  </w:style>
  <w:style w:type="paragraph" w:customStyle="1" w:styleId="DefItem">
    <w:name w:val="DefItem"/>
    <w:basedOn w:val="Normal"/>
    <w:autoRedefine/>
    <w:qFormat/>
    <w:rsid w:val="005B70D5"/>
    <w:pPr>
      <w:spacing w:after="80"/>
      <w:ind w:left="720"/>
    </w:pPr>
    <w:rPr>
      <w:color w:val="833C0B" w:themeColor="accent2" w:themeShade="80"/>
    </w:rPr>
  </w:style>
  <w:style w:type="paragraph" w:customStyle="1" w:styleId="DisplayFormula">
    <w:name w:val="DisplayFormula"/>
    <w:basedOn w:val="Normal"/>
    <w:link w:val="DisplayFormulaChar"/>
    <w:qFormat/>
    <w:rsid w:val="005B70D5"/>
    <w:pPr>
      <w:ind w:left="720"/>
    </w:pPr>
    <w:rPr>
      <w:color w:val="833C0B" w:themeColor="accent2" w:themeShade="80"/>
    </w:rPr>
  </w:style>
  <w:style w:type="character" w:customStyle="1" w:styleId="DisplayFormulaChar">
    <w:name w:val="DisplayFormula Char"/>
    <w:basedOn w:val="DefaultParagraphFont"/>
    <w:link w:val="DisplayFormula"/>
    <w:rsid w:val="005B70D5"/>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5B70D5"/>
    <w:rPr>
      <w:color w:val="auto"/>
      <w:bdr w:val="none" w:sz="0" w:space="0" w:color="auto"/>
      <w:shd w:val="clear" w:color="auto" w:fill="FFD1E8"/>
    </w:rPr>
  </w:style>
  <w:style w:type="character" w:customStyle="1" w:styleId="Edition">
    <w:name w:val="Edition"/>
    <w:basedOn w:val="DefaultParagraphFont"/>
    <w:uiPriority w:val="1"/>
    <w:qFormat/>
    <w:rsid w:val="005B70D5"/>
    <w:rPr>
      <w:color w:val="auto"/>
      <w:bdr w:val="none" w:sz="0" w:space="0" w:color="auto"/>
      <w:shd w:val="clear" w:color="auto" w:fill="9999FF"/>
    </w:rPr>
  </w:style>
  <w:style w:type="character" w:customStyle="1" w:styleId="EdSurname">
    <w:name w:val="EdSurname"/>
    <w:basedOn w:val="DefaultParagraphFont"/>
    <w:uiPriority w:val="1"/>
    <w:qFormat/>
    <w:rsid w:val="005B70D5"/>
    <w:rPr>
      <w:color w:val="auto"/>
      <w:bdr w:val="none" w:sz="0" w:space="0" w:color="auto"/>
      <w:shd w:val="clear" w:color="auto" w:fill="FF95CA"/>
    </w:rPr>
  </w:style>
  <w:style w:type="character" w:customStyle="1" w:styleId="Email">
    <w:name w:val="Email"/>
    <w:basedOn w:val="DefaultParagraphFont"/>
    <w:uiPriority w:val="1"/>
    <w:qFormat/>
    <w:rsid w:val="005B70D5"/>
    <w:rPr>
      <w:color w:val="0808B8"/>
    </w:rPr>
  </w:style>
  <w:style w:type="character" w:customStyle="1" w:styleId="Fax">
    <w:name w:val="Fax"/>
    <w:basedOn w:val="DefaultParagraphFont"/>
    <w:uiPriority w:val="1"/>
    <w:qFormat/>
    <w:rsid w:val="005B70D5"/>
    <w:rPr>
      <w:color w:val="C00000"/>
    </w:rPr>
  </w:style>
  <w:style w:type="paragraph" w:customStyle="1" w:styleId="FigNote">
    <w:name w:val="FigNote"/>
    <w:basedOn w:val="TableFootnote"/>
    <w:qFormat/>
    <w:rsid w:val="005B70D5"/>
  </w:style>
  <w:style w:type="paragraph" w:customStyle="1" w:styleId="FigureCaption">
    <w:name w:val="FigureCaption"/>
    <w:link w:val="Figur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5B70D5"/>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5B70D5"/>
    <w:rPr>
      <w:color w:val="auto"/>
      <w:bdr w:val="none" w:sz="0" w:space="0" w:color="auto"/>
      <w:shd w:val="clear" w:color="auto" w:fill="DDDDDD"/>
    </w:rPr>
  </w:style>
  <w:style w:type="character" w:customStyle="1" w:styleId="focus">
    <w:name w:val="focus"/>
    <w:basedOn w:val="DefaultParagraphFont"/>
    <w:rsid w:val="005B70D5"/>
  </w:style>
  <w:style w:type="paragraph" w:customStyle="1" w:styleId="GlossaryHead">
    <w:name w:val="GlossaryHead"/>
    <w:basedOn w:val="Head1"/>
    <w:qFormat/>
    <w:rsid w:val="005B70D5"/>
    <w:rPr>
      <w:rFonts w:asciiTheme="majorHAnsi" w:hAnsiTheme="majorHAnsi"/>
      <w:color w:val="C45911" w:themeColor="accent2" w:themeShade="BF"/>
      <w:sz w:val="28"/>
    </w:rPr>
  </w:style>
  <w:style w:type="character" w:customStyle="1" w:styleId="Issue">
    <w:name w:val="Issue"/>
    <w:basedOn w:val="DefaultParagraphFont"/>
    <w:uiPriority w:val="1"/>
    <w:qFormat/>
    <w:rsid w:val="005B70D5"/>
    <w:rPr>
      <w:color w:val="auto"/>
      <w:bdr w:val="none" w:sz="0" w:space="0" w:color="auto"/>
      <w:shd w:val="clear" w:color="auto" w:fill="C8BE84"/>
    </w:rPr>
  </w:style>
  <w:style w:type="character" w:customStyle="1" w:styleId="JournalTitle">
    <w:name w:val="JournalTitle"/>
    <w:basedOn w:val="DefaultParagraphFont"/>
    <w:uiPriority w:val="1"/>
    <w:qFormat/>
    <w:rsid w:val="005B70D5"/>
    <w:rPr>
      <w:color w:val="auto"/>
      <w:bdr w:val="none" w:sz="0" w:space="0" w:color="auto"/>
      <w:shd w:val="clear" w:color="auto" w:fill="CCFF99"/>
    </w:rPr>
  </w:style>
  <w:style w:type="paragraph" w:customStyle="1" w:styleId="KeyWordHead">
    <w:name w:val="KeyWordHead"/>
    <w:basedOn w:val="Normal"/>
    <w:autoRedefine/>
    <w:qFormat/>
    <w:rsid w:val="005B70D5"/>
    <w:rPr>
      <w:color w:val="4472C4" w:themeColor="accent1"/>
      <w:sz w:val="28"/>
    </w:rPr>
  </w:style>
  <w:style w:type="paragraph" w:customStyle="1" w:styleId="KeyWords">
    <w:name w:val="KeyWords"/>
    <w:basedOn w:val="Normal"/>
    <w:qFormat/>
    <w:rsid w:val="005B70D5"/>
    <w:pPr>
      <w:ind w:left="720"/>
    </w:pPr>
    <w:rPr>
      <w:color w:val="1F3864" w:themeColor="accent1" w:themeShade="80"/>
      <w:sz w:val="20"/>
    </w:rPr>
  </w:style>
  <w:style w:type="character" w:customStyle="1" w:styleId="Label">
    <w:name w:val="Label"/>
    <w:basedOn w:val="DefaultParagraphFont"/>
    <w:uiPriority w:val="1"/>
    <w:qFormat/>
    <w:rsid w:val="005B70D5"/>
    <w:rPr>
      <w:b w:val="0"/>
      <w:color w:val="0070C0"/>
    </w:rPr>
  </w:style>
  <w:style w:type="character" w:customStyle="1" w:styleId="MiscDate">
    <w:name w:val="MiscDate"/>
    <w:basedOn w:val="DefaultParagraphFont"/>
    <w:uiPriority w:val="1"/>
    <w:qFormat/>
    <w:rsid w:val="005B70D5"/>
    <w:rPr>
      <w:color w:val="7030A0"/>
    </w:rPr>
  </w:style>
  <w:style w:type="character" w:customStyle="1" w:styleId="name-alternative">
    <w:name w:val="name-alternative"/>
    <w:basedOn w:val="DefaultParagraphFont"/>
    <w:uiPriority w:val="1"/>
    <w:qFormat/>
    <w:rsid w:val="005B70D5"/>
    <w:rPr>
      <w:color w:val="0D0D0D" w:themeColor="text1" w:themeTint="F2"/>
    </w:rPr>
  </w:style>
  <w:style w:type="paragraph" w:customStyle="1" w:styleId="NomenclatureHead">
    <w:name w:val="NomenclatureHead"/>
    <w:basedOn w:val="Normal"/>
    <w:qFormat/>
    <w:rsid w:val="005B70D5"/>
    <w:rPr>
      <w:rFonts w:asciiTheme="majorHAnsi" w:hAnsiTheme="majorHAnsi"/>
      <w:color w:val="C45911" w:themeColor="accent2" w:themeShade="BF"/>
      <w:sz w:val="28"/>
    </w:rPr>
  </w:style>
  <w:style w:type="character" w:customStyle="1" w:styleId="OrgDiv">
    <w:name w:val="OrgDiv"/>
    <w:basedOn w:val="DefaultParagraphFont"/>
    <w:uiPriority w:val="1"/>
    <w:qFormat/>
    <w:rsid w:val="005B70D5"/>
    <w:rPr>
      <w:color w:val="8496B0" w:themeColor="text2" w:themeTint="99"/>
    </w:rPr>
  </w:style>
  <w:style w:type="character" w:customStyle="1" w:styleId="OrgName">
    <w:name w:val="OrgName"/>
    <w:basedOn w:val="DefaultParagraphFont"/>
    <w:uiPriority w:val="1"/>
    <w:qFormat/>
    <w:rsid w:val="005B70D5"/>
    <w:rPr>
      <w:color w:val="323E4F" w:themeColor="text2" w:themeShade="BF"/>
    </w:rPr>
  </w:style>
  <w:style w:type="paragraph" w:customStyle="1" w:styleId="Para">
    <w:name w:val="Para"/>
    <w:rsid w:val="005B70D5"/>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5B70D5"/>
    <w:rPr>
      <w:color w:val="0000FF"/>
    </w:rPr>
  </w:style>
  <w:style w:type="character" w:customStyle="1" w:styleId="Phone">
    <w:name w:val="Phone"/>
    <w:basedOn w:val="DefaultParagraphFont"/>
    <w:uiPriority w:val="1"/>
    <w:qFormat/>
    <w:rsid w:val="005B70D5"/>
    <w:rPr>
      <w:color w:val="A0502C"/>
    </w:rPr>
  </w:style>
  <w:style w:type="character" w:customStyle="1" w:styleId="PinCode">
    <w:name w:val="PinCode"/>
    <w:basedOn w:val="DefaultParagraphFont"/>
    <w:uiPriority w:val="1"/>
    <w:qFormat/>
    <w:rsid w:val="005B70D5"/>
    <w:rPr>
      <w:color w:val="808000"/>
    </w:rPr>
  </w:style>
  <w:style w:type="paragraph" w:customStyle="1" w:styleId="Poem">
    <w:name w:val="Poem"/>
    <w:basedOn w:val="Normal"/>
    <w:qFormat/>
    <w:rsid w:val="005B70D5"/>
    <w:pPr>
      <w:spacing w:after="0"/>
      <w:ind w:left="1440"/>
    </w:pPr>
    <w:rPr>
      <w:color w:val="525252" w:themeColor="accent3" w:themeShade="80"/>
    </w:rPr>
  </w:style>
  <w:style w:type="paragraph" w:customStyle="1" w:styleId="PoemSource">
    <w:name w:val="PoemSource"/>
    <w:basedOn w:val="Normal"/>
    <w:qFormat/>
    <w:rsid w:val="005B70D5"/>
    <w:pPr>
      <w:jc w:val="right"/>
    </w:pPr>
    <w:rPr>
      <w:color w:val="525252" w:themeColor="accent3" w:themeShade="80"/>
    </w:rPr>
  </w:style>
  <w:style w:type="character" w:customStyle="1" w:styleId="Prefix">
    <w:name w:val="Prefix"/>
    <w:basedOn w:val="DefaultParagraphFont"/>
    <w:uiPriority w:val="1"/>
    <w:qFormat/>
    <w:rsid w:val="005B70D5"/>
    <w:rPr>
      <w:color w:val="auto"/>
      <w:bdr w:val="none" w:sz="0" w:space="0" w:color="auto"/>
      <w:shd w:val="clear" w:color="auto" w:fill="FF8633"/>
    </w:rPr>
  </w:style>
  <w:style w:type="paragraph" w:customStyle="1" w:styleId="Source">
    <w:name w:val="Source"/>
    <w:basedOn w:val="Normal"/>
    <w:qFormat/>
    <w:rsid w:val="005B70D5"/>
    <w:pPr>
      <w:ind w:left="720"/>
      <w:jc w:val="right"/>
    </w:pPr>
  </w:style>
  <w:style w:type="character" w:customStyle="1" w:styleId="ReceivedDate">
    <w:name w:val="ReceivedDate"/>
    <w:basedOn w:val="DefaultParagraphFont"/>
    <w:uiPriority w:val="1"/>
    <w:qFormat/>
    <w:rsid w:val="005B70D5"/>
    <w:rPr>
      <w:color w:val="00B050"/>
    </w:rPr>
  </w:style>
  <w:style w:type="paragraph" w:customStyle="1" w:styleId="ReferenceHead">
    <w:name w:val="ReferenceHead"/>
    <w:basedOn w:val="Normal"/>
    <w:autoRedefine/>
    <w:qFormat/>
    <w:rsid w:val="005B70D5"/>
    <w:rPr>
      <w:color w:val="002060"/>
      <w:sz w:val="28"/>
    </w:rPr>
  </w:style>
  <w:style w:type="character" w:customStyle="1" w:styleId="RefMisc">
    <w:name w:val="RefMisc"/>
    <w:basedOn w:val="DefaultParagraphFont"/>
    <w:uiPriority w:val="1"/>
    <w:qFormat/>
    <w:rsid w:val="005B70D5"/>
    <w:rPr>
      <w:color w:val="auto"/>
      <w:bdr w:val="none" w:sz="0" w:space="0" w:color="auto"/>
      <w:shd w:val="clear" w:color="auto" w:fill="FF9933"/>
    </w:rPr>
  </w:style>
  <w:style w:type="character" w:customStyle="1" w:styleId="RevisedDate">
    <w:name w:val="RevisedDate"/>
    <w:basedOn w:val="DefaultParagraphFont"/>
    <w:uiPriority w:val="1"/>
    <w:qFormat/>
    <w:rsid w:val="005B70D5"/>
    <w:rPr>
      <w:color w:val="0070C0"/>
    </w:rPr>
  </w:style>
  <w:style w:type="paragraph" w:customStyle="1" w:styleId="SignatureAff">
    <w:name w:val="SignatureAff"/>
    <w:basedOn w:val="Normal"/>
    <w:qFormat/>
    <w:rsid w:val="005B70D5"/>
    <w:pPr>
      <w:jc w:val="right"/>
    </w:pPr>
  </w:style>
  <w:style w:type="paragraph" w:customStyle="1" w:styleId="SignatureBlock">
    <w:name w:val="SignatureBlock"/>
    <w:basedOn w:val="Normal"/>
    <w:qFormat/>
    <w:rsid w:val="005B70D5"/>
    <w:pPr>
      <w:jc w:val="right"/>
    </w:pPr>
    <w:rPr>
      <w:bdr w:val="dotted" w:sz="4" w:space="0" w:color="auto"/>
    </w:rPr>
  </w:style>
  <w:style w:type="character" w:customStyle="1" w:styleId="State">
    <w:name w:val="State"/>
    <w:basedOn w:val="DefaultParagraphFont"/>
    <w:uiPriority w:val="1"/>
    <w:qFormat/>
    <w:rsid w:val="005B70D5"/>
    <w:rPr>
      <w:color w:val="A70B38"/>
    </w:rPr>
  </w:style>
  <w:style w:type="paragraph" w:customStyle="1" w:styleId="StatementItalic">
    <w:name w:val="StatementItalic"/>
    <w:basedOn w:val="Normal"/>
    <w:autoRedefine/>
    <w:qFormat/>
    <w:rsid w:val="005B70D5"/>
    <w:pPr>
      <w:ind w:left="720"/>
    </w:pPr>
    <w:rPr>
      <w:i/>
      <w:sz w:val="20"/>
    </w:rPr>
  </w:style>
  <w:style w:type="paragraph" w:customStyle="1" w:styleId="Statements">
    <w:name w:val="Statements"/>
    <w:basedOn w:val="Normal"/>
    <w:qFormat/>
    <w:rsid w:val="005B70D5"/>
    <w:pPr>
      <w:ind w:left="720"/>
    </w:pPr>
    <w:rPr>
      <w:sz w:val="20"/>
    </w:rPr>
  </w:style>
  <w:style w:type="character" w:customStyle="1" w:styleId="Street">
    <w:name w:val="Street"/>
    <w:basedOn w:val="DefaultParagraphFont"/>
    <w:uiPriority w:val="1"/>
    <w:qFormat/>
    <w:rsid w:val="005B70D5"/>
    <w:rPr>
      <w:color w:val="auto"/>
      <w:bdr w:val="none" w:sz="0" w:space="0" w:color="auto"/>
      <w:shd w:val="clear" w:color="auto" w:fill="00CC99"/>
    </w:rPr>
  </w:style>
  <w:style w:type="character" w:styleId="Strong">
    <w:name w:val="Strong"/>
    <w:basedOn w:val="DefaultParagraphFont"/>
    <w:uiPriority w:val="22"/>
    <w:qFormat/>
    <w:rsid w:val="005B70D5"/>
    <w:rPr>
      <w:b/>
      <w:bCs/>
    </w:rPr>
  </w:style>
  <w:style w:type="character" w:customStyle="1" w:styleId="Suffix">
    <w:name w:val="Suffix"/>
    <w:basedOn w:val="DefaultParagraphFont"/>
    <w:uiPriority w:val="1"/>
    <w:qFormat/>
    <w:rsid w:val="005B70D5"/>
    <w:rPr>
      <w:color w:val="auto"/>
      <w:bdr w:val="none" w:sz="0" w:space="0" w:color="auto"/>
      <w:shd w:val="clear" w:color="auto" w:fill="FFA86D"/>
    </w:rPr>
  </w:style>
  <w:style w:type="character" w:customStyle="1" w:styleId="Surname">
    <w:name w:val="Surname"/>
    <w:basedOn w:val="DefaultParagraphFont"/>
    <w:uiPriority w:val="1"/>
    <w:qFormat/>
    <w:rsid w:val="005B70D5"/>
    <w:rPr>
      <w:color w:val="auto"/>
      <w:bdr w:val="none" w:sz="0" w:space="0" w:color="auto"/>
      <w:shd w:val="clear" w:color="auto" w:fill="BCBCBC"/>
    </w:rPr>
  </w:style>
  <w:style w:type="paragraph" w:customStyle="1" w:styleId="TableCaption">
    <w:name w:val="TableCaption"/>
    <w:link w:val="Tabl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5B70D5"/>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5B70D5"/>
    <w:pPr>
      <w:spacing w:after="0"/>
    </w:pPr>
    <w:rPr>
      <w:rFonts w:asciiTheme="majorHAnsi" w:hAnsiTheme="majorHAnsi"/>
      <w:sz w:val="18"/>
    </w:rPr>
  </w:style>
  <w:style w:type="character" w:customStyle="1" w:styleId="TableFootnoteChar">
    <w:name w:val="TableFootnote Char"/>
    <w:basedOn w:val="DefaultParagraphFont"/>
    <w:link w:val="TableFootnote"/>
    <w:rsid w:val="005B70D5"/>
    <w:rPr>
      <w:rFonts w:asciiTheme="majorHAnsi" w:eastAsiaTheme="minorHAnsi" w:hAnsiTheme="majorHAnsi" w:cstheme="minorBidi"/>
      <w:sz w:val="18"/>
      <w:szCs w:val="22"/>
      <w:lang w:eastAsia="en-US"/>
    </w:rPr>
  </w:style>
  <w:style w:type="paragraph" w:customStyle="1" w:styleId="TitleNote">
    <w:name w:val="TitleNote"/>
    <w:basedOn w:val="AuthNotes"/>
    <w:qFormat/>
    <w:rsid w:val="005B70D5"/>
    <w:rPr>
      <w:sz w:val="20"/>
    </w:rPr>
  </w:style>
  <w:style w:type="paragraph" w:customStyle="1" w:styleId="TransAbstract">
    <w:name w:val="TransAbstract"/>
    <w:basedOn w:val="Abstract"/>
    <w:qFormat/>
    <w:rsid w:val="005B70D5"/>
    <w:pPr>
      <w:spacing w:after="210"/>
    </w:pPr>
  </w:style>
  <w:style w:type="character" w:customStyle="1" w:styleId="TransTitle">
    <w:name w:val="TransTitle"/>
    <w:basedOn w:val="DefaultParagraphFont"/>
    <w:uiPriority w:val="1"/>
    <w:qFormat/>
    <w:rsid w:val="005B70D5"/>
    <w:rPr>
      <w:color w:val="538135" w:themeColor="accent6" w:themeShade="BF"/>
    </w:rPr>
  </w:style>
  <w:style w:type="character" w:customStyle="1" w:styleId="Year">
    <w:name w:val="Year"/>
    <w:basedOn w:val="DefaultParagraphFont"/>
    <w:uiPriority w:val="1"/>
    <w:qFormat/>
    <w:rsid w:val="005B70D5"/>
    <w:rPr>
      <w:color w:val="auto"/>
      <w:bdr w:val="none" w:sz="0" w:space="0" w:color="auto"/>
      <w:shd w:val="clear" w:color="auto" w:fill="66FF66"/>
    </w:rPr>
  </w:style>
  <w:style w:type="paragraph" w:customStyle="1" w:styleId="DisplayFormulaUnnum">
    <w:name w:val="DisplayFormulaUnnum"/>
    <w:basedOn w:val="Normal"/>
    <w:link w:val="DisplayFormulaUnnumChar"/>
    <w:rsid w:val="005B70D5"/>
  </w:style>
  <w:style w:type="character" w:customStyle="1" w:styleId="DateChar">
    <w:name w:val="Date Char"/>
    <w:basedOn w:val="DefaultParagraphFont"/>
    <w:uiPriority w:val="99"/>
    <w:semiHidden/>
    <w:rsid w:val="005B70D5"/>
  </w:style>
  <w:style w:type="character" w:customStyle="1" w:styleId="SubtitleChar">
    <w:name w:val="Subtitle Char"/>
    <w:basedOn w:val="DefaultParagraphFont"/>
    <w:uiPriority w:val="11"/>
    <w:rsid w:val="005B70D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5B70D5"/>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5B70D5"/>
  </w:style>
  <w:style w:type="character" w:customStyle="1" w:styleId="FigureUnnumChar">
    <w:name w:val="FigureUnnum Char"/>
    <w:basedOn w:val="DefaultParagraphFont"/>
    <w:link w:val="FigureUnnum"/>
    <w:rsid w:val="005B70D5"/>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5B70D5"/>
  </w:style>
  <w:style w:type="character" w:customStyle="1" w:styleId="PresentAddressChar">
    <w:name w:val="PresentAddress Char"/>
    <w:basedOn w:val="DefaultParagraphFont"/>
    <w:link w:val="PresentAddress"/>
    <w:rsid w:val="005B70D5"/>
    <w:rPr>
      <w:rFonts w:asciiTheme="minorHAnsi" w:eastAsiaTheme="minorHAnsi" w:hAnsiTheme="minorHAnsi" w:cstheme="minorBidi"/>
      <w:sz w:val="22"/>
      <w:szCs w:val="22"/>
      <w:lang w:eastAsia="en-US"/>
    </w:rPr>
  </w:style>
  <w:style w:type="paragraph" w:customStyle="1" w:styleId="ParaContinue">
    <w:name w:val="ParaContinue"/>
    <w:link w:val="ParaContinueChar"/>
    <w:rsid w:val="005B70D5"/>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5B70D5"/>
    <w:rPr>
      <w:rFonts w:ascii="Times New Roman" w:eastAsiaTheme="minorHAnsi" w:hAnsi="Times New Roman" w:cstheme="minorBidi"/>
      <w:szCs w:val="22"/>
      <w:lang w:eastAsia="en-US"/>
    </w:rPr>
  </w:style>
  <w:style w:type="paragraph" w:customStyle="1" w:styleId="AuthorBio">
    <w:name w:val="AuthorBio"/>
    <w:link w:val="AuthorBioChar"/>
    <w:rsid w:val="005B70D5"/>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5B70D5"/>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5B70D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B70D5"/>
    <w:rPr>
      <w:color w:val="auto"/>
      <w:bdr w:val="none" w:sz="0" w:space="0" w:color="auto"/>
      <w:shd w:val="clear" w:color="auto" w:fill="A5BED6"/>
    </w:rPr>
  </w:style>
  <w:style w:type="character" w:customStyle="1" w:styleId="Report">
    <w:name w:val="Report"/>
    <w:basedOn w:val="DefaultParagraphFont"/>
    <w:uiPriority w:val="1"/>
    <w:qFormat/>
    <w:rsid w:val="005B70D5"/>
    <w:rPr>
      <w:bdr w:val="none" w:sz="0" w:space="0" w:color="auto"/>
      <w:shd w:val="clear" w:color="auto" w:fill="D7E553"/>
    </w:rPr>
  </w:style>
  <w:style w:type="character" w:customStyle="1" w:styleId="Thesis">
    <w:name w:val="Thesis"/>
    <w:basedOn w:val="DefaultParagraphFont"/>
    <w:uiPriority w:val="1"/>
    <w:qFormat/>
    <w:rsid w:val="005B70D5"/>
    <w:rPr>
      <w:color w:val="auto"/>
      <w:bdr w:val="none" w:sz="0" w:space="0" w:color="auto"/>
      <w:shd w:val="clear" w:color="auto" w:fill="E5D007"/>
    </w:rPr>
  </w:style>
  <w:style w:type="character" w:customStyle="1" w:styleId="Issn">
    <w:name w:val="Issn"/>
    <w:basedOn w:val="DefaultParagraphFont"/>
    <w:uiPriority w:val="1"/>
    <w:qFormat/>
    <w:rsid w:val="005B70D5"/>
    <w:rPr>
      <w:bdr w:val="none" w:sz="0" w:space="0" w:color="auto"/>
      <w:shd w:val="clear" w:color="auto" w:fill="A17189"/>
    </w:rPr>
  </w:style>
  <w:style w:type="character" w:customStyle="1" w:styleId="Isbn">
    <w:name w:val="Isbn"/>
    <w:basedOn w:val="DefaultParagraphFont"/>
    <w:uiPriority w:val="1"/>
    <w:qFormat/>
    <w:rsid w:val="005B70D5"/>
    <w:rPr>
      <w:bdr w:val="none" w:sz="0" w:space="0" w:color="auto"/>
      <w:shd w:val="clear" w:color="auto" w:fill="C8EBFC"/>
    </w:rPr>
  </w:style>
  <w:style w:type="character" w:customStyle="1" w:styleId="Coden">
    <w:name w:val="Coden"/>
    <w:basedOn w:val="DefaultParagraphFont"/>
    <w:uiPriority w:val="1"/>
    <w:qFormat/>
    <w:rsid w:val="005B70D5"/>
    <w:rPr>
      <w:color w:val="auto"/>
      <w:bdr w:val="none" w:sz="0" w:space="0" w:color="auto"/>
      <w:shd w:val="clear" w:color="auto" w:fill="F9A88F"/>
    </w:rPr>
  </w:style>
  <w:style w:type="character" w:customStyle="1" w:styleId="Patent">
    <w:name w:val="Patent"/>
    <w:basedOn w:val="DefaultParagraphFont"/>
    <w:uiPriority w:val="1"/>
    <w:qFormat/>
    <w:rsid w:val="005B70D5"/>
    <w:rPr>
      <w:color w:val="auto"/>
      <w:bdr w:val="none" w:sz="0" w:space="0" w:color="auto"/>
      <w:shd w:val="clear" w:color="auto" w:fill="B26510"/>
    </w:rPr>
  </w:style>
  <w:style w:type="character" w:customStyle="1" w:styleId="MiddleName">
    <w:name w:val="MiddleName"/>
    <w:basedOn w:val="DefaultParagraphFont"/>
    <w:uiPriority w:val="1"/>
    <w:qFormat/>
    <w:rsid w:val="005B70D5"/>
    <w:rPr>
      <w:color w:val="auto"/>
      <w:bdr w:val="none" w:sz="0" w:space="0" w:color="auto"/>
      <w:shd w:val="clear" w:color="auto" w:fill="9C9C9C"/>
    </w:rPr>
  </w:style>
  <w:style w:type="character" w:customStyle="1" w:styleId="Query">
    <w:name w:val="Query"/>
    <w:basedOn w:val="DefaultParagraphFont"/>
    <w:uiPriority w:val="1"/>
    <w:rsid w:val="005B70D5"/>
    <w:rPr>
      <w:bdr w:val="none" w:sz="0" w:space="0" w:color="auto"/>
      <w:shd w:val="clear" w:color="auto" w:fill="FFFF0F"/>
    </w:rPr>
  </w:style>
  <w:style w:type="character" w:customStyle="1" w:styleId="EdMiddleName">
    <w:name w:val="EdMiddleName"/>
    <w:basedOn w:val="DefaultParagraphFont"/>
    <w:uiPriority w:val="1"/>
    <w:rsid w:val="005B70D5"/>
    <w:rPr>
      <w:bdr w:val="none" w:sz="0" w:space="0" w:color="auto"/>
      <w:shd w:val="clear" w:color="auto" w:fill="FF67B3"/>
    </w:rPr>
  </w:style>
  <w:style w:type="paragraph" w:customStyle="1" w:styleId="UnnumFigure">
    <w:name w:val="UnnumFigure"/>
    <w:basedOn w:val="Normal"/>
    <w:qFormat/>
    <w:rsid w:val="005B70D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B70D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B70D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B70D5"/>
  </w:style>
  <w:style w:type="paragraph" w:customStyle="1" w:styleId="Bibentry">
    <w:name w:val="Bib_entry"/>
    <w:autoRedefine/>
    <w:qFormat/>
    <w:rsid w:val="005B70D5"/>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5B70D5"/>
  </w:style>
  <w:style w:type="paragraph" w:customStyle="1" w:styleId="ListEnd">
    <w:name w:val="ListEnd"/>
    <w:basedOn w:val="Normal"/>
    <w:qFormat/>
    <w:rsid w:val="005B70D5"/>
  </w:style>
  <w:style w:type="paragraph" w:customStyle="1" w:styleId="AbbreviationHead">
    <w:name w:val="AbbreviationHead"/>
    <w:basedOn w:val="NomenclatureHead"/>
    <w:qFormat/>
    <w:rsid w:val="005B70D5"/>
  </w:style>
  <w:style w:type="paragraph" w:customStyle="1" w:styleId="GraphAbstract">
    <w:name w:val="GraphAbstract"/>
    <w:basedOn w:val="Normal"/>
    <w:qFormat/>
    <w:rsid w:val="005B70D5"/>
  </w:style>
  <w:style w:type="paragraph" w:customStyle="1" w:styleId="Epigraph">
    <w:name w:val="Epigraph"/>
    <w:basedOn w:val="Normal"/>
    <w:autoRedefine/>
    <w:qFormat/>
    <w:rsid w:val="005B70D5"/>
    <w:pPr>
      <w:ind w:left="720"/>
    </w:pPr>
    <w:rPr>
      <w:iCs/>
      <w:color w:val="BF8F00" w:themeColor="accent4" w:themeShade="BF"/>
    </w:rPr>
  </w:style>
  <w:style w:type="paragraph" w:customStyle="1" w:styleId="Dedication">
    <w:name w:val="Dedication"/>
    <w:basedOn w:val="Para"/>
    <w:autoRedefine/>
    <w:qFormat/>
    <w:rsid w:val="005B70D5"/>
    <w:rPr>
      <w:color w:val="C45911" w:themeColor="accent2" w:themeShade="BF"/>
    </w:rPr>
  </w:style>
  <w:style w:type="paragraph" w:customStyle="1" w:styleId="ConflictofInterest">
    <w:name w:val="ConflictofInterest"/>
    <w:basedOn w:val="Para"/>
    <w:autoRedefine/>
    <w:qFormat/>
    <w:rsid w:val="005B70D5"/>
    <w:rPr>
      <w:sz w:val="22"/>
    </w:rPr>
  </w:style>
  <w:style w:type="paragraph" w:customStyle="1" w:styleId="FloatQuote">
    <w:name w:val="FloatQuote"/>
    <w:basedOn w:val="Para"/>
    <w:qFormat/>
    <w:rsid w:val="005B70D5"/>
    <w:pPr>
      <w:shd w:val="clear" w:color="auto" w:fill="E2EFD9" w:themeFill="accent6" w:themeFillTint="33"/>
      <w:ind w:left="1134" w:right="1134" w:firstLine="0"/>
      <w:jc w:val="both"/>
    </w:pPr>
    <w:rPr>
      <w:sz w:val="18"/>
    </w:rPr>
  </w:style>
  <w:style w:type="paragraph" w:customStyle="1" w:styleId="PullQuote">
    <w:name w:val="PullQuote"/>
    <w:basedOn w:val="Para"/>
    <w:qFormat/>
    <w:rsid w:val="005B70D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B70D5"/>
    <w:rPr>
      <w:sz w:val="22"/>
    </w:rPr>
  </w:style>
  <w:style w:type="character" w:customStyle="1" w:styleId="GrantNumber">
    <w:name w:val="GrantNumber"/>
    <w:basedOn w:val="FundingNumber"/>
    <w:uiPriority w:val="1"/>
    <w:qFormat/>
    <w:rsid w:val="005B70D5"/>
    <w:rPr>
      <w:color w:val="9900FF"/>
    </w:rPr>
  </w:style>
  <w:style w:type="character" w:customStyle="1" w:styleId="GrantSponser">
    <w:name w:val="GrantSponser"/>
    <w:basedOn w:val="FundingAgency"/>
    <w:uiPriority w:val="1"/>
    <w:qFormat/>
    <w:rsid w:val="005B70D5"/>
    <w:rPr>
      <w:color w:val="666699"/>
    </w:rPr>
  </w:style>
  <w:style w:type="paragraph" w:customStyle="1" w:styleId="SuppHead">
    <w:name w:val="SuppHead"/>
    <w:basedOn w:val="Head1"/>
    <w:qFormat/>
    <w:rsid w:val="005B70D5"/>
  </w:style>
  <w:style w:type="paragraph" w:customStyle="1" w:styleId="SuppInfo">
    <w:name w:val="SuppInfo"/>
    <w:basedOn w:val="Para"/>
    <w:qFormat/>
    <w:rsid w:val="005B70D5"/>
  </w:style>
  <w:style w:type="paragraph" w:customStyle="1" w:styleId="SuppMedia">
    <w:name w:val="SuppMedia"/>
    <w:basedOn w:val="Para"/>
    <w:qFormat/>
    <w:rsid w:val="005B70D5"/>
  </w:style>
  <w:style w:type="paragraph" w:customStyle="1" w:styleId="AdditionalInfoHead">
    <w:name w:val="AdditionalInfoHead"/>
    <w:basedOn w:val="Head1"/>
    <w:qFormat/>
    <w:rsid w:val="005B70D5"/>
  </w:style>
  <w:style w:type="paragraph" w:customStyle="1" w:styleId="AdditionalInfo">
    <w:name w:val="AdditionalInfo"/>
    <w:basedOn w:val="Para"/>
    <w:qFormat/>
    <w:rsid w:val="005B70D5"/>
  </w:style>
  <w:style w:type="paragraph" w:customStyle="1" w:styleId="FeatureTitle">
    <w:name w:val="FeatureTitle"/>
    <w:basedOn w:val="BoxTitle"/>
    <w:qFormat/>
    <w:rsid w:val="005B70D5"/>
  </w:style>
  <w:style w:type="paragraph" w:customStyle="1" w:styleId="AltTitle">
    <w:name w:val="AltTitle"/>
    <w:basedOn w:val="Titledocument"/>
    <w:qFormat/>
    <w:rsid w:val="005B70D5"/>
  </w:style>
  <w:style w:type="paragraph" w:customStyle="1" w:styleId="AltSubTitle">
    <w:name w:val="AltSubTitle"/>
    <w:basedOn w:val="Subtitle"/>
    <w:qFormat/>
    <w:rsid w:val="005B70D5"/>
  </w:style>
  <w:style w:type="paragraph" w:customStyle="1" w:styleId="SelfCitation">
    <w:name w:val="SelfCitation"/>
    <w:basedOn w:val="Para"/>
    <w:qFormat/>
    <w:rsid w:val="005B70D5"/>
  </w:style>
  <w:style w:type="paragraph" w:styleId="Subtitle">
    <w:name w:val="Subtitle"/>
    <w:basedOn w:val="Normal"/>
    <w:next w:val="Normal"/>
    <w:link w:val="SubtitleChar1"/>
    <w:uiPriority w:val="11"/>
    <w:qFormat/>
    <w:rsid w:val="005B70D5"/>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5B70D5"/>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5B70D5"/>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5B70D5"/>
    <w:rPr>
      <w:b/>
      <w:color w:val="ED7D31" w:themeColor="accent2"/>
    </w:rPr>
  </w:style>
  <w:style w:type="paragraph" w:customStyle="1" w:styleId="FigSource">
    <w:name w:val="FigSource"/>
    <w:basedOn w:val="Normal"/>
    <w:qFormat/>
    <w:rsid w:val="005B70D5"/>
  </w:style>
  <w:style w:type="paragraph" w:customStyle="1" w:styleId="Copyright">
    <w:name w:val="Copyright"/>
    <w:basedOn w:val="Normal"/>
    <w:qFormat/>
    <w:rsid w:val="005B70D5"/>
  </w:style>
  <w:style w:type="paragraph" w:customStyle="1" w:styleId="InlineSupp">
    <w:name w:val="InlineSupp"/>
    <w:basedOn w:val="Normal"/>
    <w:qFormat/>
    <w:rsid w:val="005B70D5"/>
  </w:style>
  <w:style w:type="paragraph" w:customStyle="1" w:styleId="SidebarQuote">
    <w:name w:val="SidebarQuote"/>
    <w:basedOn w:val="Normal"/>
    <w:qFormat/>
    <w:rsid w:val="005B70D5"/>
  </w:style>
  <w:style w:type="character" w:customStyle="1" w:styleId="AltName">
    <w:name w:val="AltName"/>
    <w:basedOn w:val="DefaultParagraphFont"/>
    <w:uiPriority w:val="1"/>
    <w:qFormat/>
    <w:rsid w:val="005B70D5"/>
    <w:rPr>
      <w:color w:val="806000" w:themeColor="accent4" w:themeShade="80"/>
    </w:rPr>
  </w:style>
  <w:style w:type="paragraph" w:customStyle="1" w:styleId="StereoChemComp">
    <w:name w:val="StereoChemComp"/>
    <w:basedOn w:val="Normal"/>
    <w:qFormat/>
    <w:rsid w:val="005B70D5"/>
  </w:style>
  <w:style w:type="paragraph" w:customStyle="1" w:styleId="StereoChemForm">
    <w:name w:val="StereoChemForm"/>
    <w:basedOn w:val="Normal"/>
    <w:qFormat/>
    <w:rsid w:val="005B70D5"/>
  </w:style>
  <w:style w:type="paragraph" w:customStyle="1" w:styleId="StereoChemInfo">
    <w:name w:val="StereoChemInfo"/>
    <w:basedOn w:val="Normal"/>
    <w:qFormat/>
    <w:rsid w:val="005B70D5"/>
  </w:style>
  <w:style w:type="paragraph" w:customStyle="1" w:styleId="Address">
    <w:name w:val="Address"/>
    <w:rsid w:val="005B70D5"/>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5B70D5"/>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5B70D5"/>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B70D5"/>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B70D5"/>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B70D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B70D5"/>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B70D5"/>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B70D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B70D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B70D5"/>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B70D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B70D5"/>
    <w:rPr>
      <w:b/>
    </w:rPr>
  </w:style>
  <w:style w:type="paragraph" w:customStyle="1" w:styleId="Prelims">
    <w:name w:val="Prelims"/>
    <w:basedOn w:val="Normal"/>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B70D5"/>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B70D5"/>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B70D5"/>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B70D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B70D5"/>
    <w:rPr>
      <w:color w:val="7030A0"/>
    </w:rPr>
  </w:style>
  <w:style w:type="paragraph" w:customStyle="1" w:styleId="Update">
    <w:name w:val="Update"/>
    <w:basedOn w:val="Normal"/>
    <w:qFormat/>
    <w:rsid w:val="005B70D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B70D5"/>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B70D5"/>
  </w:style>
  <w:style w:type="character" w:customStyle="1" w:styleId="FundingAgency">
    <w:name w:val="FundingAgency"/>
    <w:basedOn w:val="DefaultParagraphFont"/>
    <w:uiPriority w:val="1"/>
    <w:qFormat/>
    <w:rsid w:val="005B70D5"/>
    <w:rPr>
      <w:color w:val="FF0000"/>
    </w:rPr>
  </w:style>
  <w:style w:type="character" w:customStyle="1" w:styleId="FundingNumber">
    <w:name w:val="FundingNumber"/>
    <w:basedOn w:val="DefaultParagraphFont"/>
    <w:uiPriority w:val="1"/>
    <w:qFormat/>
    <w:rsid w:val="005B70D5"/>
    <w:rPr>
      <w:color w:val="9900FF"/>
    </w:rPr>
  </w:style>
  <w:style w:type="character" w:customStyle="1" w:styleId="Orcid">
    <w:name w:val="Orcid"/>
    <w:basedOn w:val="DefaultParagraphFont"/>
    <w:uiPriority w:val="1"/>
    <w:qFormat/>
    <w:rsid w:val="005B70D5"/>
    <w:rPr>
      <w:color w:val="7030A0"/>
    </w:rPr>
  </w:style>
  <w:style w:type="paragraph" w:customStyle="1" w:styleId="TOC1">
    <w:name w:val="TOC1"/>
    <w:basedOn w:val="Normal"/>
    <w:qFormat/>
    <w:rsid w:val="005B70D5"/>
  </w:style>
  <w:style w:type="paragraph" w:customStyle="1" w:styleId="TOC2">
    <w:name w:val="TOC2"/>
    <w:basedOn w:val="Normal"/>
    <w:qFormat/>
    <w:rsid w:val="005B70D5"/>
  </w:style>
  <w:style w:type="paragraph" w:customStyle="1" w:styleId="TOC3">
    <w:name w:val="TOC3"/>
    <w:basedOn w:val="Normal"/>
    <w:qFormat/>
    <w:rsid w:val="005B70D5"/>
  </w:style>
  <w:style w:type="paragraph" w:customStyle="1" w:styleId="TOC4">
    <w:name w:val="TOC4"/>
    <w:basedOn w:val="Normal"/>
    <w:qFormat/>
    <w:rsid w:val="005B70D5"/>
  </w:style>
  <w:style w:type="paragraph" w:customStyle="1" w:styleId="TOCHeading">
    <w:name w:val="TOCHeading"/>
    <w:basedOn w:val="Normal"/>
    <w:qFormat/>
    <w:rsid w:val="005B70D5"/>
  </w:style>
  <w:style w:type="paragraph" w:customStyle="1" w:styleId="Index1">
    <w:name w:val="Index1"/>
    <w:basedOn w:val="Normal"/>
    <w:qFormat/>
    <w:rsid w:val="005B70D5"/>
  </w:style>
  <w:style w:type="paragraph" w:customStyle="1" w:styleId="Index2">
    <w:name w:val="Index2"/>
    <w:basedOn w:val="Normal"/>
    <w:qFormat/>
    <w:rsid w:val="005B70D5"/>
    <w:pPr>
      <w:ind w:left="284"/>
    </w:pPr>
  </w:style>
  <w:style w:type="paragraph" w:customStyle="1" w:styleId="Index3">
    <w:name w:val="Index3"/>
    <w:basedOn w:val="Normal"/>
    <w:qFormat/>
    <w:rsid w:val="005B70D5"/>
    <w:pPr>
      <w:ind w:left="567"/>
    </w:pPr>
  </w:style>
  <w:style w:type="paragraph" w:customStyle="1" w:styleId="Index4">
    <w:name w:val="Index4"/>
    <w:basedOn w:val="Normal"/>
    <w:qFormat/>
    <w:rsid w:val="005B70D5"/>
    <w:pPr>
      <w:ind w:left="851"/>
    </w:pPr>
  </w:style>
  <w:style w:type="paragraph" w:customStyle="1" w:styleId="IndexHead">
    <w:name w:val="IndexHead"/>
    <w:basedOn w:val="Normal"/>
    <w:qFormat/>
    <w:rsid w:val="005B70D5"/>
  </w:style>
  <w:style w:type="paragraph" w:customStyle="1" w:styleId="BoxHead1">
    <w:name w:val="BoxHead1"/>
    <w:basedOn w:val="AppendixH1"/>
    <w:qFormat/>
    <w:rsid w:val="005B70D5"/>
  </w:style>
  <w:style w:type="paragraph" w:customStyle="1" w:styleId="BoxHead2">
    <w:name w:val="BoxHead2"/>
    <w:basedOn w:val="AppendixH2"/>
    <w:qFormat/>
    <w:rsid w:val="005B70D5"/>
  </w:style>
  <w:style w:type="paragraph" w:customStyle="1" w:styleId="BoxHead3">
    <w:name w:val="BoxHead3"/>
    <w:basedOn w:val="AppendixH3"/>
    <w:qFormat/>
    <w:rsid w:val="005B70D5"/>
  </w:style>
  <w:style w:type="paragraph" w:customStyle="1" w:styleId="ChapterNumber">
    <w:name w:val="ChapterNumber"/>
    <w:basedOn w:val="Normal"/>
    <w:next w:val="Normal"/>
    <w:rsid w:val="005B70D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B70D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B70D5"/>
    <w:rPr>
      <w:i w:val="0"/>
      <w:sz w:val="40"/>
    </w:rPr>
  </w:style>
  <w:style w:type="paragraph" w:customStyle="1" w:styleId="ChapterSubTitle">
    <w:name w:val="ChapterSubTitle"/>
    <w:basedOn w:val="ChapterTitle"/>
    <w:next w:val="Normal"/>
    <w:rsid w:val="005B70D5"/>
    <w:pPr>
      <w:spacing w:before="0"/>
    </w:pPr>
    <w:rPr>
      <w:b w:val="0"/>
      <w:i/>
      <w:sz w:val="36"/>
    </w:rPr>
  </w:style>
  <w:style w:type="paragraph" w:customStyle="1" w:styleId="ParaFirst">
    <w:name w:val="ParaFirst"/>
    <w:qFormat/>
    <w:rsid w:val="005B70D5"/>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B70D5"/>
    <w:pPr>
      <w:pBdr>
        <w:top w:val="none" w:sz="0" w:space="0" w:color="auto"/>
        <w:bottom w:val="thickThinSmallGap" w:sz="24" w:space="1" w:color="auto"/>
      </w:pBdr>
    </w:pPr>
  </w:style>
  <w:style w:type="paragraph" w:customStyle="1" w:styleId="AuthorBioHead">
    <w:name w:val="AuthorBioHead"/>
    <w:qFormat/>
    <w:rsid w:val="005B70D5"/>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5B70D5"/>
    <w:rPr>
      <w:color w:val="BF8F00" w:themeColor="accent4" w:themeShade="BF"/>
    </w:rPr>
  </w:style>
  <w:style w:type="character" w:customStyle="1" w:styleId="RevisedDate2">
    <w:name w:val="RevisedDate2"/>
    <w:basedOn w:val="DefaultParagraphFont"/>
    <w:uiPriority w:val="1"/>
    <w:qFormat/>
    <w:rsid w:val="005B70D5"/>
    <w:rPr>
      <w:color w:val="538135" w:themeColor="accent6" w:themeShade="BF"/>
    </w:rPr>
  </w:style>
  <w:style w:type="paragraph" w:customStyle="1" w:styleId="ClientTag">
    <w:name w:val="ClientTag"/>
    <w:basedOn w:val="Normal"/>
    <w:qFormat/>
    <w:rsid w:val="005B70D5"/>
  </w:style>
  <w:style w:type="paragraph" w:customStyle="1" w:styleId="RefHead1">
    <w:name w:val="RefHead1"/>
    <w:basedOn w:val="ReferenceHead"/>
    <w:qFormat/>
    <w:rsid w:val="005B70D5"/>
    <w:pPr>
      <w:ind w:left="284"/>
    </w:pPr>
  </w:style>
  <w:style w:type="paragraph" w:customStyle="1" w:styleId="RefHead2">
    <w:name w:val="RefHead2"/>
    <w:basedOn w:val="ReferenceHead"/>
    <w:qFormat/>
    <w:rsid w:val="005B70D5"/>
    <w:pPr>
      <w:ind w:left="567"/>
    </w:pPr>
  </w:style>
  <w:style w:type="paragraph" w:customStyle="1" w:styleId="RefHead3">
    <w:name w:val="RefHead3"/>
    <w:basedOn w:val="ReferenceHead"/>
    <w:qFormat/>
    <w:rsid w:val="005B70D5"/>
    <w:pPr>
      <w:spacing w:before="30"/>
      <w:ind w:left="851"/>
    </w:pPr>
  </w:style>
  <w:style w:type="paragraph" w:customStyle="1" w:styleId="FundingHead">
    <w:name w:val="FundingHead"/>
    <w:basedOn w:val="AckHead"/>
    <w:qFormat/>
    <w:rsid w:val="005B70D5"/>
  </w:style>
  <w:style w:type="paragraph" w:customStyle="1" w:styleId="FundingPara">
    <w:name w:val="FundingPara"/>
    <w:basedOn w:val="FundingHead"/>
    <w:next w:val="AckPara"/>
    <w:qFormat/>
    <w:rsid w:val="005B70D5"/>
  </w:style>
  <w:style w:type="paragraph" w:customStyle="1" w:styleId="DisclosureHead">
    <w:name w:val="DisclosureHead"/>
    <w:basedOn w:val="Head1"/>
    <w:qFormat/>
    <w:rsid w:val="005B70D5"/>
  </w:style>
  <w:style w:type="paragraph" w:customStyle="1" w:styleId="Disclosure">
    <w:name w:val="Disclosure"/>
    <w:basedOn w:val="Para"/>
    <w:qFormat/>
    <w:rsid w:val="005B70D5"/>
  </w:style>
  <w:style w:type="paragraph" w:customStyle="1" w:styleId="Quotation">
    <w:name w:val="Quotation"/>
    <w:basedOn w:val="Normal"/>
    <w:qFormat/>
    <w:rsid w:val="005B70D5"/>
    <w:pPr>
      <w:jc w:val="center"/>
    </w:pPr>
    <w:rPr>
      <w:sz w:val="16"/>
    </w:rPr>
  </w:style>
  <w:style w:type="character" w:customStyle="1" w:styleId="Correct">
    <w:name w:val="Correct"/>
    <w:basedOn w:val="DefaultParagraphFont"/>
    <w:uiPriority w:val="1"/>
    <w:qFormat/>
    <w:rsid w:val="005B70D5"/>
    <w:rPr>
      <w:b/>
      <w:color w:val="0070C0"/>
    </w:rPr>
  </w:style>
  <w:style w:type="paragraph" w:customStyle="1" w:styleId="Explanation">
    <w:name w:val="Explanation"/>
    <w:basedOn w:val="Normal"/>
    <w:rsid w:val="005B70D5"/>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B70D5"/>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B70D5"/>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B70D5"/>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B70D5"/>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B70D5"/>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B70D5"/>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B70D5"/>
    <w:rPr>
      <w:color w:val="4472C4" w:themeColor="accent1"/>
      <w:sz w:val="20"/>
    </w:rPr>
  </w:style>
  <w:style w:type="character" w:customStyle="1" w:styleId="Subject1">
    <w:name w:val="Subject1"/>
    <w:basedOn w:val="DefaultParagraphFont"/>
    <w:uiPriority w:val="1"/>
    <w:rsid w:val="005B70D5"/>
    <w:rPr>
      <w:rFonts w:ascii="Times New Roman" w:hAnsi="Times New Roman"/>
      <w:color w:val="002060"/>
      <w:sz w:val="20"/>
    </w:rPr>
  </w:style>
  <w:style w:type="character" w:customStyle="1" w:styleId="Subject2">
    <w:name w:val="Subject2"/>
    <w:basedOn w:val="Subject1"/>
    <w:uiPriority w:val="1"/>
    <w:rsid w:val="005B70D5"/>
    <w:rPr>
      <w:rFonts w:ascii="Times New Roman" w:hAnsi="Times New Roman"/>
      <w:color w:val="002060"/>
      <w:sz w:val="20"/>
    </w:rPr>
  </w:style>
  <w:style w:type="paragraph" w:customStyle="1" w:styleId="FigKeyword">
    <w:name w:val="FigKeyword"/>
    <w:basedOn w:val="Normal"/>
    <w:qFormat/>
    <w:rsid w:val="005B70D5"/>
  </w:style>
  <w:style w:type="paragraph" w:customStyle="1" w:styleId="FigCopyright">
    <w:name w:val="FigCopyright"/>
    <w:basedOn w:val="Normal"/>
    <w:qFormat/>
    <w:rsid w:val="005B70D5"/>
  </w:style>
  <w:style w:type="character" w:customStyle="1" w:styleId="EpreprintDate">
    <w:name w:val="EpreprintDate"/>
    <w:basedOn w:val="DefaultParagraphFont"/>
    <w:uiPriority w:val="1"/>
    <w:qFormat/>
    <w:rsid w:val="005B70D5"/>
    <w:rPr>
      <w:bdr w:val="none" w:sz="0" w:space="0" w:color="auto"/>
      <w:shd w:val="clear" w:color="auto" w:fill="B4C6E7" w:themeFill="accent1" w:themeFillTint="66"/>
    </w:rPr>
  </w:style>
  <w:style w:type="paragraph" w:customStyle="1" w:styleId="ChemFormula">
    <w:name w:val="ChemFormula"/>
    <w:basedOn w:val="Normal"/>
    <w:qFormat/>
    <w:rsid w:val="005B70D5"/>
  </w:style>
  <w:style w:type="paragraph" w:customStyle="1" w:styleId="ChemFormulaUnnum">
    <w:name w:val="ChemFormulaUnnum"/>
    <w:basedOn w:val="Normal"/>
    <w:qFormat/>
    <w:rsid w:val="005B70D5"/>
  </w:style>
  <w:style w:type="paragraph" w:customStyle="1" w:styleId="Value">
    <w:name w:val="Value"/>
    <w:basedOn w:val="Normal"/>
    <w:next w:val="Normal"/>
    <w:qFormat/>
    <w:rsid w:val="005B70D5"/>
  </w:style>
  <w:style w:type="paragraph" w:customStyle="1" w:styleId="Yours">
    <w:name w:val="Yours"/>
    <w:basedOn w:val="Normal"/>
    <w:next w:val="Normal"/>
    <w:qFormat/>
    <w:rsid w:val="005B70D5"/>
  </w:style>
  <w:style w:type="paragraph" w:customStyle="1" w:styleId="Letter-ps">
    <w:name w:val="Letter-ps"/>
    <w:basedOn w:val="Normal"/>
    <w:next w:val="Normal"/>
    <w:qFormat/>
    <w:rsid w:val="005B70D5"/>
  </w:style>
  <w:style w:type="paragraph" w:styleId="Salutation">
    <w:name w:val="Salutation"/>
    <w:basedOn w:val="Normal"/>
    <w:next w:val="Normal"/>
    <w:link w:val="SalutationChar"/>
    <w:uiPriority w:val="99"/>
    <w:semiHidden/>
    <w:unhideWhenUsed/>
    <w:rsid w:val="005B70D5"/>
  </w:style>
  <w:style w:type="character" w:customStyle="1" w:styleId="SalutationChar">
    <w:name w:val="Salutation Char"/>
    <w:basedOn w:val="DefaultParagraphFont"/>
    <w:link w:val="Salutation"/>
    <w:uiPriority w:val="99"/>
    <w:semiHidden/>
    <w:rsid w:val="005B70D5"/>
    <w:rPr>
      <w:rFonts w:asciiTheme="minorHAnsi" w:eastAsiaTheme="minorHAnsi" w:hAnsiTheme="minorHAnsi" w:cstheme="minorBidi"/>
      <w:sz w:val="22"/>
      <w:szCs w:val="22"/>
      <w:lang w:eastAsia="en-US"/>
    </w:rPr>
  </w:style>
  <w:style w:type="paragraph" w:customStyle="1" w:styleId="AppendixNumber">
    <w:name w:val="AppendixNumber"/>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5B70D5"/>
  </w:style>
  <w:style w:type="paragraph" w:customStyle="1" w:styleId="FeatureFixedTitle">
    <w:name w:val="FeatureFixedTitle"/>
    <w:basedOn w:val="Normal"/>
    <w:qFormat/>
    <w:rsid w:val="005B70D5"/>
  </w:style>
  <w:style w:type="paragraph" w:customStyle="1" w:styleId="Feature">
    <w:name w:val="Feature"/>
    <w:basedOn w:val="BoxTitle"/>
    <w:qFormat/>
    <w:rsid w:val="005B70D5"/>
  </w:style>
  <w:style w:type="paragraph" w:customStyle="1" w:styleId="FeatureHead1">
    <w:name w:val="FeatureHead1"/>
    <w:basedOn w:val="Normal"/>
    <w:qFormat/>
    <w:rsid w:val="005B70D5"/>
  </w:style>
  <w:style w:type="paragraph" w:customStyle="1" w:styleId="FeatureHead2">
    <w:name w:val="FeatureHead2"/>
    <w:basedOn w:val="FeatureHead1"/>
    <w:qFormat/>
    <w:rsid w:val="005B70D5"/>
  </w:style>
  <w:style w:type="paragraph" w:customStyle="1" w:styleId="ExerciseSection">
    <w:name w:val="ExerciseSection"/>
    <w:basedOn w:val="Normal"/>
    <w:qFormat/>
    <w:rsid w:val="005B70D5"/>
  </w:style>
  <w:style w:type="character" w:customStyle="1" w:styleId="FigCount">
    <w:name w:val="FigCount"/>
    <w:basedOn w:val="DefaultParagraphFont"/>
    <w:uiPriority w:val="1"/>
    <w:qFormat/>
    <w:rsid w:val="005B70D5"/>
    <w:rPr>
      <w:color w:val="0000FF"/>
    </w:rPr>
  </w:style>
  <w:style w:type="character" w:customStyle="1" w:styleId="TblCount">
    <w:name w:val="TblCount"/>
    <w:basedOn w:val="DefaultParagraphFont"/>
    <w:uiPriority w:val="1"/>
    <w:qFormat/>
    <w:rsid w:val="005B70D5"/>
    <w:rPr>
      <w:color w:val="0000FF"/>
    </w:rPr>
  </w:style>
  <w:style w:type="character" w:customStyle="1" w:styleId="RefCount">
    <w:name w:val="RefCount"/>
    <w:basedOn w:val="DefaultParagraphFont"/>
    <w:uiPriority w:val="1"/>
    <w:qFormat/>
    <w:rsid w:val="005B70D5"/>
    <w:rPr>
      <w:color w:val="0000FF"/>
    </w:rPr>
  </w:style>
  <w:style w:type="character" w:customStyle="1" w:styleId="EqnCount">
    <w:name w:val="EqnCount"/>
    <w:basedOn w:val="DefaultParagraphFont"/>
    <w:uiPriority w:val="1"/>
    <w:qFormat/>
    <w:rsid w:val="005B70D5"/>
    <w:rPr>
      <w:color w:val="0000FF"/>
    </w:rPr>
  </w:style>
  <w:style w:type="paragraph" w:customStyle="1" w:styleId="AuthInfo">
    <w:name w:val="AuthInfo"/>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5B70D5"/>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5B70D5"/>
  </w:style>
  <w:style w:type="paragraph" w:customStyle="1" w:styleId="RelatedArticle">
    <w:name w:val="RelatedArticle"/>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5B70D5"/>
    <w:rPr>
      <w:sz w:val="20"/>
    </w:rPr>
  </w:style>
  <w:style w:type="paragraph" w:customStyle="1" w:styleId="BoxKeyword">
    <w:name w:val="BoxKeyword"/>
    <w:autoRedefine/>
    <w:qFormat/>
    <w:rsid w:val="005B70D5"/>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5B70D5"/>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5B70D5"/>
  </w:style>
  <w:style w:type="character" w:customStyle="1" w:styleId="BookSeries">
    <w:name w:val="BookSeries"/>
    <w:uiPriority w:val="1"/>
    <w:rsid w:val="005B70D5"/>
  </w:style>
  <w:style w:type="paragraph" w:customStyle="1" w:styleId="SuppKeyword">
    <w:name w:val="SuppKeyword"/>
    <w:basedOn w:val="SuppInfo"/>
    <w:qFormat/>
    <w:rsid w:val="005B70D5"/>
  </w:style>
  <w:style w:type="character" w:customStyle="1" w:styleId="eSlide">
    <w:name w:val="eSlide"/>
    <w:basedOn w:val="DefaultParagraphFont"/>
    <w:uiPriority w:val="1"/>
    <w:qFormat/>
    <w:rsid w:val="005B70D5"/>
    <w:rPr>
      <w:color w:val="FF0000"/>
    </w:rPr>
  </w:style>
  <w:style w:type="character" w:customStyle="1" w:styleId="KeyTerm">
    <w:name w:val="KeyTerm"/>
    <w:basedOn w:val="DefaultParagraphFont"/>
    <w:uiPriority w:val="1"/>
    <w:qFormat/>
    <w:rsid w:val="005B70D5"/>
    <w:rPr>
      <w:color w:val="538135" w:themeColor="accent6" w:themeShade="BF"/>
    </w:rPr>
  </w:style>
  <w:style w:type="character" w:customStyle="1" w:styleId="OtherTitle">
    <w:name w:val="OtherTitle"/>
    <w:basedOn w:val="DefaultParagraphFont"/>
    <w:uiPriority w:val="1"/>
    <w:qFormat/>
    <w:rsid w:val="005B70D5"/>
    <w:rPr>
      <w:bdr w:val="none" w:sz="0" w:space="0" w:color="auto"/>
      <w:shd w:val="clear" w:color="auto" w:fill="BDD6EE" w:themeFill="accent5" w:themeFillTint="66"/>
    </w:rPr>
  </w:style>
  <w:style w:type="paragraph" w:customStyle="1" w:styleId="SidebarText">
    <w:name w:val="SidebarText"/>
    <w:basedOn w:val="Normal"/>
    <w:qFormat/>
    <w:rsid w:val="005B70D5"/>
    <w:pPr>
      <w:spacing w:after="0" w:line="360" w:lineRule="auto"/>
      <w:ind w:left="475"/>
    </w:pPr>
    <w:rPr>
      <w:rFonts w:eastAsia="Times New Roman" w:cs="Times New Roman"/>
      <w:noProof/>
      <w:sz w:val="24"/>
      <w:szCs w:val="20"/>
    </w:rPr>
  </w:style>
  <w:style w:type="character" w:customStyle="1" w:styleId="term-InText">
    <w:name w:val="term-InText"/>
    <w:uiPriority w:val="1"/>
    <w:rsid w:val="005B70D5"/>
  </w:style>
  <w:style w:type="character" w:customStyle="1" w:styleId="GrantAuthor">
    <w:name w:val="GrantAuthor"/>
    <w:basedOn w:val="DefaultParagraphFont"/>
    <w:uiPriority w:val="1"/>
    <w:qFormat/>
    <w:rsid w:val="005B70D5"/>
    <w:rPr>
      <w:color w:val="C45911" w:themeColor="accent2" w:themeShade="BF"/>
    </w:rPr>
  </w:style>
  <w:style w:type="character" w:customStyle="1" w:styleId="Price">
    <w:name w:val="Price"/>
    <w:uiPriority w:val="1"/>
    <w:rsid w:val="005B70D5"/>
  </w:style>
  <w:style w:type="paragraph" w:customStyle="1" w:styleId="BoxFootnote">
    <w:name w:val="BoxFootnote"/>
    <w:basedOn w:val="TableFootnote"/>
    <w:qFormat/>
    <w:rsid w:val="005B70D5"/>
  </w:style>
  <w:style w:type="paragraph" w:customStyle="1" w:styleId="ConflictOfInterestHead">
    <w:name w:val="ConflictOfInterestHead"/>
    <w:basedOn w:val="AdditionalInfoHead"/>
    <w:qFormat/>
    <w:rsid w:val="005B70D5"/>
  </w:style>
  <w:style w:type="character" w:customStyle="1" w:styleId="eLocator">
    <w:name w:val="eLocator"/>
    <w:basedOn w:val="DefaultParagraphFont"/>
    <w:uiPriority w:val="1"/>
    <w:rsid w:val="005B70D5"/>
    <w:rPr>
      <w:color w:val="A5A5A5" w:themeColor="accent3"/>
    </w:rPr>
  </w:style>
  <w:style w:type="character" w:customStyle="1" w:styleId="Twitter">
    <w:name w:val="Twitter"/>
    <w:basedOn w:val="DefaultParagraphFont"/>
    <w:uiPriority w:val="1"/>
    <w:qFormat/>
    <w:rsid w:val="005B70D5"/>
    <w:rPr>
      <w:color w:val="BF8F00" w:themeColor="accent4" w:themeShade="BF"/>
    </w:rPr>
  </w:style>
  <w:style w:type="paragraph" w:customStyle="1" w:styleId="StubTitledocument">
    <w:name w:val="StubTitle_document"/>
    <w:basedOn w:val="Subtitle"/>
    <w:qFormat/>
    <w:rsid w:val="005B70D5"/>
  </w:style>
  <w:style w:type="character" w:customStyle="1" w:styleId="ArticleNumber">
    <w:name w:val="ArticleNumber"/>
    <w:basedOn w:val="DefaultParagraphFont"/>
    <w:uiPriority w:val="1"/>
    <w:qFormat/>
    <w:rsid w:val="005B70D5"/>
    <w:rPr>
      <w:color w:val="3F3E00"/>
    </w:rPr>
  </w:style>
  <w:style w:type="paragraph" w:customStyle="1" w:styleId="EqnGroupBegin">
    <w:name w:val="EqnGroupBegin"/>
    <w:basedOn w:val="Normal"/>
    <w:qFormat/>
    <w:rsid w:val="005B70D5"/>
    <w:pPr>
      <w:pBdr>
        <w:top w:val="single" w:sz="12" w:space="1" w:color="auto"/>
      </w:pBdr>
      <w:shd w:val="clear" w:color="auto" w:fill="C9C9C9" w:themeFill="accent3" w:themeFillTint="99"/>
      <w:jc w:val="center"/>
    </w:pPr>
  </w:style>
  <w:style w:type="paragraph" w:customStyle="1" w:styleId="EqnGroupEnd">
    <w:name w:val="EqnGroupEnd"/>
    <w:basedOn w:val="Normal"/>
    <w:qFormat/>
    <w:rsid w:val="005B70D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B70D5"/>
    <w:rPr>
      <w:color w:val="auto"/>
      <w:bdr w:val="none" w:sz="0" w:space="0" w:color="auto"/>
      <w:shd w:val="clear" w:color="auto" w:fill="97FF97"/>
    </w:rPr>
  </w:style>
  <w:style w:type="character" w:customStyle="1" w:styleId="PII">
    <w:name w:val="PII"/>
    <w:basedOn w:val="DefaultParagraphFont"/>
    <w:uiPriority w:val="1"/>
    <w:rsid w:val="005B70D5"/>
    <w:rPr>
      <w:bdr w:val="none" w:sz="0" w:space="0" w:color="auto"/>
      <w:shd w:val="clear" w:color="auto" w:fill="F9907F"/>
    </w:rPr>
  </w:style>
  <w:style w:type="paragraph" w:customStyle="1" w:styleId="Image">
    <w:name w:val="Image"/>
    <w:basedOn w:val="Normal"/>
    <w:qFormat/>
    <w:rsid w:val="005B70D5"/>
  </w:style>
  <w:style w:type="paragraph" w:customStyle="1" w:styleId="ShortTitle">
    <w:name w:val="ShortTitle"/>
    <w:basedOn w:val="Normal"/>
    <w:qFormat/>
    <w:rsid w:val="005B70D5"/>
  </w:style>
  <w:style w:type="paragraph" w:customStyle="1" w:styleId="ReferencedData">
    <w:name w:val="ReferencedData"/>
    <w:basedOn w:val="ShortTitle"/>
    <w:qFormat/>
    <w:rsid w:val="005B70D5"/>
  </w:style>
  <w:style w:type="character" w:customStyle="1" w:styleId="Nickname">
    <w:name w:val="Nickname"/>
    <w:basedOn w:val="DefaultParagraphFont"/>
    <w:uiPriority w:val="1"/>
    <w:qFormat/>
    <w:rsid w:val="005B70D5"/>
    <w:rPr>
      <w:color w:val="538135" w:themeColor="accent6" w:themeShade="BF"/>
    </w:rPr>
  </w:style>
  <w:style w:type="character" w:styleId="Emphasis">
    <w:name w:val="Emphasis"/>
    <w:basedOn w:val="DefaultParagraphFont"/>
    <w:uiPriority w:val="20"/>
    <w:qFormat/>
    <w:rsid w:val="005B70D5"/>
    <w:rPr>
      <w:i/>
      <w:iCs/>
    </w:rPr>
  </w:style>
  <w:style w:type="character" w:customStyle="1" w:styleId="DrugName">
    <w:name w:val="Drug Name"/>
    <w:qFormat/>
    <w:rsid w:val="005B70D5"/>
    <w:rPr>
      <w:rFonts w:ascii="Arial" w:hAnsi="Arial"/>
      <w:b/>
      <w:color w:val="E36C0A"/>
      <w:u w:val="single"/>
    </w:rPr>
  </w:style>
  <w:style w:type="paragraph" w:customStyle="1" w:styleId="Supplementary">
    <w:name w:val="Supplementary"/>
    <w:basedOn w:val="Normal"/>
    <w:qFormat/>
    <w:rsid w:val="005B70D5"/>
  </w:style>
  <w:style w:type="character" w:customStyle="1" w:styleId="accessionId">
    <w:name w:val="accessionId"/>
    <w:basedOn w:val="DefaultParagraphFont"/>
    <w:uiPriority w:val="1"/>
    <w:qFormat/>
    <w:rsid w:val="005B70D5"/>
    <w:rPr>
      <w:color w:val="FF0000"/>
    </w:rPr>
  </w:style>
  <w:style w:type="character" w:customStyle="1" w:styleId="Pronouns">
    <w:name w:val="Pronouns"/>
    <w:basedOn w:val="DefaultParagraphFont"/>
    <w:uiPriority w:val="1"/>
    <w:qFormat/>
    <w:rsid w:val="005B70D5"/>
    <w:rPr>
      <w:color w:val="C45911" w:themeColor="accent2" w:themeShade="BF"/>
    </w:rPr>
  </w:style>
  <w:style w:type="character" w:customStyle="1" w:styleId="CreditTaxonomy">
    <w:name w:val="CreditTaxonomy"/>
    <w:basedOn w:val="DefaultParagraphFont"/>
    <w:uiPriority w:val="1"/>
    <w:rsid w:val="005B70D5"/>
    <w:rPr>
      <w:color w:val="00B050"/>
    </w:rPr>
  </w:style>
  <w:style w:type="paragraph" w:customStyle="1" w:styleId="TableSource">
    <w:name w:val="TableSource"/>
    <w:basedOn w:val="Normal"/>
    <w:qFormat/>
    <w:rsid w:val="005B70D5"/>
  </w:style>
  <w:style w:type="character" w:customStyle="1" w:styleId="collab-text">
    <w:name w:val="collab-text"/>
    <w:basedOn w:val="DefaultParagraphFont"/>
    <w:uiPriority w:val="1"/>
    <w:rsid w:val="005B70D5"/>
    <w:rPr>
      <w:color w:val="538135" w:themeColor="accent6" w:themeShade="BF"/>
    </w:rPr>
  </w:style>
  <w:style w:type="paragraph" w:customStyle="1" w:styleId="Index5">
    <w:name w:val="Index5"/>
    <w:basedOn w:val="Normal"/>
    <w:qFormat/>
    <w:rsid w:val="005B70D5"/>
  </w:style>
  <w:style w:type="paragraph" w:customStyle="1" w:styleId="Index6">
    <w:name w:val="Index6"/>
    <w:basedOn w:val="Normal"/>
    <w:qFormat/>
    <w:rsid w:val="005B70D5"/>
  </w:style>
  <w:style w:type="paragraph" w:customStyle="1" w:styleId="Index7">
    <w:name w:val="Index7"/>
    <w:basedOn w:val="Normal"/>
    <w:qFormat/>
    <w:rsid w:val="005B70D5"/>
  </w:style>
  <w:style w:type="paragraph" w:customStyle="1" w:styleId="Index8">
    <w:name w:val="Index8"/>
    <w:basedOn w:val="Normal"/>
    <w:qFormat/>
    <w:rsid w:val="005B70D5"/>
  </w:style>
  <w:style w:type="paragraph" w:customStyle="1" w:styleId="Index9">
    <w:name w:val="Index9"/>
    <w:basedOn w:val="Normal"/>
    <w:qFormat/>
    <w:rsid w:val="005B70D5"/>
  </w:style>
  <w:style w:type="paragraph" w:customStyle="1" w:styleId="AltText">
    <w:name w:val="AltText"/>
    <w:basedOn w:val="FigureCaption"/>
    <w:link w:val="AltTextChar"/>
    <w:qFormat/>
    <w:rsid w:val="005B70D5"/>
  </w:style>
  <w:style w:type="character" w:customStyle="1" w:styleId="AltTextChar">
    <w:name w:val="AltText Char"/>
    <w:basedOn w:val="FigureCaptionChar"/>
    <w:link w:val="AltText"/>
    <w:rsid w:val="005B70D5"/>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5B70D5"/>
    <w:rPr>
      <w:sz w:val="20"/>
    </w:rPr>
  </w:style>
  <w:style w:type="paragraph" w:customStyle="1" w:styleId="BoxHead5">
    <w:name w:val="BoxHead5"/>
    <w:basedOn w:val="BoxHead4"/>
    <w:next w:val="BoxHead4"/>
    <w:qFormat/>
    <w:rsid w:val="005B70D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6:34:36" EndTime="10-08-2025 16:34:3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9827</Words>
  <Characters>58176</Characters>
  <Application>Microsoft Office Word</Application>
  <DocSecurity>0</DocSecurity>
  <Lines>1616</Lines>
  <Paragraphs>944</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67059</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cp:revision>
  <cp:lastPrinted>2025-08-09T18:37:00Z</cp:lastPrinted>
  <dcterms:created xsi:type="dcterms:W3CDTF">2025-08-10T11:06:00Z</dcterms:created>
  <dcterms:modified xsi:type="dcterms:W3CDTF">2025-08-10T11:06:00Z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