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4A17" w14:textId="77777777" w:rsidR="00FB6A89" w:rsidRPr="00FB6A89" w:rsidRDefault="00FB6A89" w:rsidP="0029105C"/>
    <w:p w14:paraId="0869208E" w14:textId="77777777" w:rsidR="00FE50C9" w:rsidRDefault="00920393" w:rsidP="00FB6A89">
      <w:pPr>
        <w:pStyle w:val="DocHead"/>
      </w:pPr>
      <w:r>
        <w:t>Original Articles</w:t>
      </w:r>
    </w:p>
    <w:p w14:paraId="49153A92" w14:textId="00BB194F" w:rsidR="001166B8" w:rsidRPr="00FB6A89" w:rsidRDefault="00FB6A89" w:rsidP="00FB6A89">
      <w:pPr>
        <w:pStyle w:val="Titledocument"/>
      </w:pPr>
      <w:r>
        <w:t>Peripheral Macular Endothelial Dystrophy: Clinical, Histopathologic, Genetic and Functional Characterization</w:t>
      </w:r>
    </w:p>
    <w:p w14:paraId="1FCF062E" w14:textId="14EA5A5B" w:rsidR="00906F6B" w:rsidRPr="00FB7CC4" w:rsidRDefault="00906F6B" w:rsidP="00FB6A89">
      <w:pPr>
        <w:pStyle w:val="ShortTitle"/>
      </w:pPr>
      <w:r>
        <w:t>Short title: Peripheral Macular Endothelial Dystrophy</w:t>
      </w:r>
    </w:p>
    <w:p w14:paraId="4E74C4C9" w14:textId="387B90FE" w:rsidR="00E603D3" w:rsidRPr="00FB6A89" w:rsidRDefault="00FB6A89" w:rsidP="00FB6A89">
      <w:pPr>
        <w:pStyle w:val="Authors"/>
      </w:pPr>
      <w:r>
        <w:rPr>
          <w:rStyle w:val="FirstName"/>
          <w:bdr w:val="dotted" w:sz="4" w:space="0" w:color="auto"/>
        </w:rPr>
        <w:t>Wenlin</w:t>
      </w:r>
      <w:r w:rsidRPr="00FB6A89">
        <w:rPr>
          <w:rFonts w:ascii="Arial" w:hAnsi="Arial" w:cs="Arial"/>
          <w:bdr w:val="dotted" w:sz="4" w:space="0" w:color="auto"/>
        </w:rPr>
        <w:t xml:space="preserve"> </w:t>
      </w:r>
      <w:r>
        <w:rPr>
          <w:rStyle w:val="Surname"/>
          <w:bdr w:val="dotted" w:sz="4" w:space="0" w:color="auto"/>
        </w:rPr>
        <w:t>Zhang</w:t>
      </w:r>
      <w:r w:rsidRPr="00FB6A89">
        <w:rPr>
          <w:rFonts w:ascii="Arial" w:hAnsi="Arial" w:cs="Arial"/>
          <w:bdr w:val="dotted" w:sz="4" w:space="0" w:color="auto"/>
          <w:vertAlign w:val="superscript"/>
        </w:rPr>
        <w:t>a</w:t>
      </w:r>
      <w:r>
        <w:rPr>
          <w:bdr w:val="dotted" w:sz="4" w:space="0" w:color="auto"/>
        </w:rPr>
        <w:t xml:space="preserve">, </w:t>
      </w:r>
      <w:r>
        <w:rPr>
          <w:rStyle w:val="CreditTaxonomy"/>
          <w:bdr w:val="dotted" w:sz="4" w:space="0" w:color="auto"/>
        </w:rPr>
        <w:t>Writing – review &amp; editing, Writing – original draft, Visualization, Project administration, Methodology, Investigation, Formal analysis, Data curation, Conceptualization</w:t>
      </w:r>
      <w:r w:rsidRPr="00FB6A89">
        <w:t>,</w:t>
      </w:r>
      <w:r w:rsidRPr="00FB6A89">
        <w:rPr>
          <w:rFonts w:ascii="Arial" w:hAnsi="Arial" w:cs="Arial"/>
        </w:rPr>
        <w:t xml:space="preserve"> </w:t>
      </w:r>
      <w:r>
        <w:rPr>
          <w:rStyle w:val="FirstName"/>
          <w:bdr w:val="dotted" w:sz="4" w:space="0" w:color="auto"/>
        </w:rPr>
        <w:t>Huong</w:t>
      </w:r>
      <w:r w:rsidRPr="00FB6A89">
        <w:rPr>
          <w:rFonts w:ascii="Arial" w:hAnsi="Arial" w:cs="Arial"/>
          <w:bdr w:val="dotted" w:sz="4" w:space="0" w:color="auto"/>
        </w:rPr>
        <w:t xml:space="preserve"> </w:t>
      </w:r>
      <w:r>
        <w:rPr>
          <w:rStyle w:val="Surname"/>
          <w:bdr w:val="dotted" w:sz="4" w:space="0" w:color="auto"/>
        </w:rPr>
        <w:t>Duong</w:t>
      </w:r>
      <w:r w:rsidRPr="00FB6A89">
        <w:rPr>
          <w:rFonts w:ascii="Arial" w:hAnsi="Arial" w:cs="Arial"/>
          <w:bdr w:val="dotted" w:sz="4" w:space="0" w:color="auto"/>
          <w:vertAlign w:val="superscript"/>
        </w:rPr>
        <w:t>b</w:t>
      </w:r>
      <w:r>
        <w:rPr>
          <w:bdr w:val="dotted" w:sz="4" w:space="0" w:color="auto"/>
        </w:rPr>
        <w:t xml:space="preserve">, </w:t>
      </w:r>
      <w:r>
        <w:rPr>
          <w:rStyle w:val="CreditTaxonomy"/>
          <w:bdr w:val="dotted" w:sz="4" w:space="0" w:color="auto"/>
        </w:rPr>
        <w:t>Writing – review &amp; editing, Validation, Supervision, Project administration, Investigation, Data curation, Conceptualization</w:t>
      </w:r>
      <w:r w:rsidRPr="00FB6A89">
        <w:t>,</w:t>
      </w:r>
      <w:r w:rsidRPr="00FB6A89">
        <w:rPr>
          <w:rFonts w:ascii="Arial" w:hAnsi="Arial" w:cs="Arial"/>
          <w:b/>
          <w:bCs/>
        </w:rPr>
        <w:t xml:space="preserve"> </w:t>
      </w:r>
      <w:r>
        <w:rPr>
          <w:rStyle w:val="FirstName"/>
          <w:bdr w:val="dotted" w:sz="4" w:space="0" w:color="auto"/>
        </w:rPr>
        <w:t>Passara</w:t>
      </w:r>
      <w:r w:rsidRPr="00FB6A89">
        <w:rPr>
          <w:rFonts w:ascii="Arial" w:hAnsi="Arial" w:cs="Arial"/>
          <w:bdr w:val="dotted" w:sz="4" w:space="0" w:color="auto"/>
        </w:rPr>
        <w:t xml:space="preserve"> </w:t>
      </w:r>
      <w:r>
        <w:rPr>
          <w:rStyle w:val="Surname"/>
          <w:bdr w:val="dotted" w:sz="4" w:space="0" w:color="auto"/>
        </w:rPr>
        <w:t>Jongkhajornpong</w:t>
      </w:r>
      <w:r w:rsidRPr="00FB6A89">
        <w:rPr>
          <w:rFonts w:ascii="Arial" w:hAnsi="Arial" w:cs="Arial"/>
          <w:bdr w:val="dotted" w:sz="4" w:space="0" w:color="auto"/>
          <w:vertAlign w:val="superscript"/>
        </w:rPr>
        <w:t>c</w:t>
      </w:r>
      <w:r>
        <w:rPr>
          <w:bdr w:val="dotted" w:sz="4" w:space="0" w:color="auto"/>
        </w:rPr>
        <w:t xml:space="preserve">, </w:t>
      </w:r>
      <w:r>
        <w:rPr>
          <w:rStyle w:val="CreditTaxonomy"/>
          <w:bdr w:val="dotted" w:sz="4" w:space="0" w:color="auto"/>
        </w:rPr>
        <w:t>Writing – review &amp; editing, Validation, Investigation, Data curation, Conceptualization</w:t>
      </w:r>
      <w:r w:rsidRPr="00FB6A89">
        <w:t>,</w:t>
      </w:r>
      <w:r w:rsidRPr="00FB6A89">
        <w:rPr>
          <w:rFonts w:ascii="Arial" w:hAnsi="Arial" w:cs="Arial"/>
        </w:rPr>
        <w:t xml:space="preserve"> </w:t>
      </w:r>
      <w:r>
        <w:rPr>
          <w:rStyle w:val="FirstName"/>
          <w:bdr w:val="dotted" w:sz="4" w:space="0" w:color="auto"/>
        </w:rPr>
        <w:t>Do Thi Thuy</w:t>
      </w:r>
      <w:r w:rsidRPr="00FB6A89">
        <w:rPr>
          <w:rFonts w:ascii="Arial" w:hAnsi="Arial" w:cs="Arial"/>
          <w:bdr w:val="dotted" w:sz="4" w:space="0" w:color="auto"/>
        </w:rPr>
        <w:t xml:space="preserve"> </w:t>
      </w:r>
      <w:r>
        <w:rPr>
          <w:rStyle w:val="Surname"/>
          <w:bdr w:val="dotted" w:sz="4" w:space="0" w:color="auto"/>
        </w:rPr>
        <w:t>Hang</w:t>
      </w:r>
      <w:r w:rsidRPr="00FB6A89">
        <w:rPr>
          <w:rFonts w:ascii="Arial" w:hAnsi="Arial" w:cs="Arial"/>
          <w:bdr w:val="dotted" w:sz="4" w:space="0" w:color="auto"/>
          <w:vertAlign w:val="superscript"/>
        </w:rPr>
        <w:t>d</w:t>
      </w:r>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rPr>
        <w:t xml:space="preserve"> </w:t>
      </w:r>
      <w:r>
        <w:rPr>
          <w:rStyle w:val="FirstName"/>
          <w:bdr w:val="dotted" w:sz="4" w:space="0" w:color="auto"/>
        </w:rPr>
        <w:t>Huan</w:t>
      </w:r>
      <w:r w:rsidRPr="00FB6A89">
        <w:rPr>
          <w:rFonts w:ascii="Arial" w:hAnsi="Arial" w:cs="Arial"/>
          <w:bdr w:val="dotted" w:sz="4" w:space="0" w:color="auto"/>
        </w:rPr>
        <w:t xml:space="preserve"> </w:t>
      </w:r>
      <w:r>
        <w:rPr>
          <w:rStyle w:val="Surname"/>
          <w:bdr w:val="dotted" w:sz="4" w:space="0" w:color="auto"/>
        </w:rPr>
        <w:t>Pham</w:t>
      </w:r>
      <w:r w:rsidRPr="00FB6A89">
        <w:rPr>
          <w:rFonts w:ascii="Arial" w:hAnsi="Arial" w:cs="Arial"/>
          <w:bdr w:val="dotted" w:sz="4" w:space="0" w:color="auto"/>
          <w:vertAlign w:val="superscript"/>
        </w:rPr>
        <w:t>b</w:t>
      </w:r>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rPr>
        <w:t xml:space="preserve"> </w:t>
      </w:r>
      <w:r>
        <w:rPr>
          <w:rStyle w:val="FirstName"/>
          <w:bdr w:val="dotted" w:sz="4" w:space="0" w:color="auto"/>
        </w:rPr>
        <w:t>Mai</w:t>
      </w:r>
      <w:r w:rsidRPr="00FB6A89">
        <w:rPr>
          <w:rFonts w:ascii="Arial" w:hAnsi="Arial" w:cs="Arial"/>
          <w:bdr w:val="dotted" w:sz="4" w:space="0" w:color="auto"/>
        </w:rPr>
        <w:t xml:space="preserve"> </w:t>
      </w:r>
      <w:r>
        <w:rPr>
          <w:rStyle w:val="Surname"/>
          <w:bdr w:val="dotted" w:sz="4" w:space="0" w:color="auto"/>
        </w:rPr>
        <w:t>Nguyen</w:t>
      </w:r>
      <w:r w:rsidRPr="00FB6A89">
        <w:rPr>
          <w:rFonts w:ascii="Arial" w:hAnsi="Arial" w:cs="Arial"/>
          <w:bdr w:val="dotted" w:sz="4" w:space="0" w:color="auto"/>
          <w:vertAlign w:val="superscript"/>
        </w:rPr>
        <w:t>b</w:t>
      </w:r>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vertAlign w:val="superscript"/>
        </w:rPr>
        <w:t xml:space="preserve"> </w:t>
      </w:r>
      <w:r>
        <w:rPr>
          <w:rStyle w:val="FirstName"/>
          <w:bdr w:val="dotted" w:sz="4" w:space="0" w:color="auto"/>
        </w:rPr>
        <w:t>Charlene</w:t>
      </w:r>
      <w:r w:rsidRPr="00FB6A89">
        <w:rPr>
          <w:rFonts w:ascii="Arial" w:hAnsi="Arial" w:cs="Arial"/>
          <w:bdr w:val="dotted" w:sz="4" w:space="0" w:color="auto"/>
        </w:rPr>
        <w:t xml:space="preserve"> </w:t>
      </w:r>
      <w:r>
        <w:rPr>
          <w:rStyle w:val="Surname"/>
          <w:bdr w:val="dotted" w:sz="4" w:space="0" w:color="auto"/>
        </w:rPr>
        <w:t>Choo</w:t>
      </w:r>
      <w:r w:rsidRPr="00FB6A89">
        <w:rPr>
          <w:rFonts w:ascii="Arial" w:hAnsi="Arial" w:cs="Arial"/>
          <w:bdr w:val="dotted" w:sz="4" w:space="0" w:color="auto"/>
          <w:vertAlign w:val="superscript"/>
        </w:rPr>
        <w:t>a</w:t>
      </w:r>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rPr>
        <w:t xml:space="preserve"> </w:t>
      </w:r>
      <w:r>
        <w:rPr>
          <w:rStyle w:val="FirstName"/>
          <w:bdr w:val="dotted" w:sz="4" w:space="0" w:color="auto"/>
        </w:rPr>
        <w:t>Dominic</w:t>
      </w:r>
      <w:r w:rsidRPr="00FB6A89">
        <w:rPr>
          <w:rFonts w:ascii="Arial" w:hAnsi="Arial" w:cs="Arial"/>
          <w:bdr w:val="dotted" w:sz="4" w:space="0" w:color="auto"/>
        </w:rPr>
        <w:t xml:space="preserve"> </w:t>
      </w:r>
      <w:r>
        <w:rPr>
          <w:rStyle w:val="Surname"/>
          <w:bdr w:val="dotted" w:sz="4" w:space="0" w:color="auto"/>
        </w:rPr>
        <w:t>Williams</w:t>
      </w:r>
      <w:r w:rsidRPr="00FB6A89">
        <w:rPr>
          <w:rFonts w:ascii="Arial" w:hAnsi="Arial" w:cs="Arial"/>
          <w:bdr w:val="dotted" w:sz="4" w:space="0" w:color="auto"/>
          <w:vertAlign w:val="superscript"/>
        </w:rPr>
        <w:t>a</w:t>
      </w:r>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rPr>
        <w:t xml:space="preserve"> </w:t>
      </w:r>
      <w:r>
        <w:rPr>
          <w:rStyle w:val="FirstName"/>
          <w:bdr w:val="dotted" w:sz="4" w:space="0" w:color="auto"/>
        </w:rPr>
        <w:t>Xuan</w:t>
      </w:r>
      <w:r w:rsidRPr="00FB6A89">
        <w:rPr>
          <w:rFonts w:ascii="Arial" w:hAnsi="Arial" w:cs="Arial"/>
          <w:bdr w:val="dotted" w:sz="4" w:space="0" w:color="auto"/>
        </w:rPr>
        <w:t xml:space="preserve"> </w:t>
      </w:r>
      <w:r>
        <w:rPr>
          <w:rStyle w:val="Surname"/>
          <w:bdr w:val="dotted" w:sz="4" w:space="0" w:color="auto"/>
        </w:rPr>
        <w:t>Nguyen</w:t>
      </w:r>
      <w:r w:rsidRPr="00FB6A89">
        <w:rPr>
          <w:rFonts w:ascii="Arial" w:hAnsi="Arial" w:cs="Arial"/>
          <w:bdr w:val="dotted" w:sz="4" w:space="0" w:color="auto"/>
          <w:vertAlign w:val="superscript"/>
        </w:rPr>
        <w:t>e</w:t>
      </w:r>
      <w:r>
        <w:rPr>
          <w:bdr w:val="dotted" w:sz="4" w:space="0" w:color="auto"/>
        </w:rPr>
        <w:t xml:space="preserve">, </w:t>
      </w:r>
      <w:r>
        <w:rPr>
          <w:rStyle w:val="CreditTaxonomy"/>
          <w:bdr w:val="dotted" w:sz="4" w:space="0" w:color="auto"/>
        </w:rPr>
        <w:t>Investigation, Data curation</w:t>
      </w:r>
      <w:r w:rsidRPr="00FB6A89">
        <w:t>,</w:t>
      </w:r>
      <w:r w:rsidRPr="00FB6A89">
        <w:rPr>
          <w:rFonts w:ascii="Arial" w:hAnsi="Arial" w:cs="Arial"/>
        </w:rPr>
        <w:t xml:space="preserve"> </w:t>
      </w:r>
      <w:r>
        <w:rPr>
          <w:rStyle w:val="FirstName"/>
          <w:bdr w:val="dotted" w:sz="4" w:space="0" w:color="auto"/>
        </w:rPr>
        <w:t>Tien Dat</w:t>
      </w:r>
      <w:r w:rsidRPr="00FB6A89">
        <w:rPr>
          <w:rFonts w:ascii="Arial" w:hAnsi="Arial" w:cs="Arial"/>
          <w:bdr w:val="dotted" w:sz="4" w:space="0" w:color="auto"/>
        </w:rPr>
        <w:t xml:space="preserve"> </w:t>
      </w:r>
      <w:r>
        <w:rPr>
          <w:rStyle w:val="Surname"/>
          <w:bdr w:val="dotted" w:sz="4" w:space="0" w:color="auto"/>
        </w:rPr>
        <w:t>Nguyen</w:t>
      </w:r>
      <w:r w:rsidRPr="00FB6A89">
        <w:rPr>
          <w:rFonts w:ascii="Arial" w:hAnsi="Arial" w:cs="Arial"/>
          <w:bdr w:val="dotted" w:sz="4" w:space="0" w:color="auto"/>
          <w:vertAlign w:val="superscript"/>
        </w:rPr>
        <w:t>e</w:t>
      </w:r>
      <w:r>
        <w:rPr>
          <w:bdr w:val="dotted" w:sz="4" w:space="0" w:color="auto"/>
        </w:rPr>
        <w:t xml:space="preserve">, </w:t>
      </w:r>
      <w:r>
        <w:rPr>
          <w:rStyle w:val="CreditTaxonomy"/>
          <w:bdr w:val="dotted" w:sz="4" w:space="0" w:color="auto"/>
        </w:rPr>
        <w:t>Investigation, Data curation</w:t>
      </w:r>
      <w:r w:rsidRPr="00FB6A89">
        <w:t>,</w:t>
      </w:r>
      <w:r w:rsidRPr="00FB6A89">
        <w:rPr>
          <w:rFonts w:ascii="Arial" w:hAnsi="Arial" w:cs="Arial"/>
        </w:rPr>
        <w:t xml:space="preserve"> </w:t>
      </w:r>
      <w:r>
        <w:rPr>
          <w:rStyle w:val="FirstName"/>
          <w:bdr w:val="dotted" w:sz="4" w:space="0" w:color="auto"/>
        </w:rPr>
        <w:t>Brian</w:t>
      </w:r>
      <w:r w:rsidRPr="00FB6A89">
        <w:rPr>
          <w:rFonts w:ascii="Arial" w:hAnsi="Arial" w:cs="Arial"/>
          <w:bdr w:val="dotted" w:sz="4" w:space="0" w:color="auto"/>
        </w:rPr>
        <w:t xml:space="preserve"> </w:t>
      </w:r>
      <w:r>
        <w:rPr>
          <w:rStyle w:val="Surname"/>
          <w:bdr w:val="dotted" w:sz="4" w:space="0" w:color="auto"/>
        </w:rPr>
        <w:t>Aguirre</w:t>
      </w:r>
      <w:r w:rsidRPr="00FB6A89">
        <w:rPr>
          <w:rFonts w:ascii="Arial" w:hAnsi="Arial" w:cs="Arial"/>
          <w:bdr w:val="dotted" w:sz="4" w:space="0" w:color="auto"/>
          <w:vertAlign w:val="superscript"/>
        </w:rPr>
        <w:t>f</w:t>
      </w:r>
      <w:r>
        <w:rPr>
          <w:bdr w:val="dotted" w:sz="4" w:space="0" w:color="auto"/>
        </w:rPr>
        <w:t xml:space="preserve">, </w:t>
      </w:r>
      <w:r>
        <w:rPr>
          <w:rStyle w:val="CreditTaxonomy"/>
          <w:bdr w:val="dotted" w:sz="4" w:space="0" w:color="auto"/>
        </w:rPr>
        <w:t>Investigation, Data curation</w:t>
      </w:r>
      <w:r w:rsidRPr="00FB6A89">
        <w:t>,</w:t>
      </w:r>
      <w:r w:rsidRPr="00FB6A89">
        <w:rPr>
          <w:rFonts w:ascii="Arial" w:hAnsi="Arial" w:cs="Arial"/>
        </w:rPr>
        <w:t xml:space="preserve"> </w:t>
      </w:r>
      <w:r>
        <w:rPr>
          <w:rStyle w:val="FirstName"/>
          <w:bdr w:val="dotted" w:sz="4" w:space="0" w:color="auto"/>
        </w:rPr>
        <w:t>Shaukat</w:t>
      </w:r>
      <w:r w:rsidRPr="00FB6A89">
        <w:rPr>
          <w:rFonts w:ascii="Arial" w:hAnsi="Arial" w:cs="Arial"/>
          <w:bdr w:val="dotted" w:sz="4" w:space="0" w:color="auto"/>
        </w:rPr>
        <w:t xml:space="preserve"> </w:t>
      </w:r>
      <w:r>
        <w:rPr>
          <w:rStyle w:val="Surname"/>
          <w:bdr w:val="dotted" w:sz="4" w:space="0" w:color="auto"/>
        </w:rPr>
        <w:t>Khan</w:t>
      </w:r>
      <w:r w:rsidRPr="00FB6A89">
        <w:rPr>
          <w:rFonts w:ascii="Arial" w:hAnsi="Arial" w:cs="Arial"/>
          <w:bdr w:val="dotted" w:sz="4" w:space="0" w:color="auto"/>
          <w:vertAlign w:val="superscript"/>
        </w:rPr>
        <w:t>g</w:t>
      </w:r>
      <w:r>
        <w:rPr>
          <w:bdr w:val="dotted" w:sz="4" w:space="0" w:color="auto"/>
        </w:rPr>
        <w:t xml:space="preserve">, </w:t>
      </w:r>
      <w:r>
        <w:rPr>
          <w:rStyle w:val="CreditTaxonomy"/>
          <w:bdr w:val="dotted" w:sz="4" w:space="0" w:color="auto"/>
        </w:rPr>
        <w:t>Investigation, Data curation</w:t>
      </w:r>
      <w:r w:rsidRPr="00FB6A89">
        <w:t>,</w:t>
      </w:r>
      <w:r w:rsidRPr="00FB6A89">
        <w:rPr>
          <w:rFonts w:ascii="Arial" w:hAnsi="Arial" w:cs="Arial"/>
        </w:rPr>
        <w:t xml:space="preserve"> </w:t>
      </w:r>
      <w:r>
        <w:rPr>
          <w:rStyle w:val="FirstName"/>
          <w:bdr w:val="dotted" w:sz="4" w:space="0" w:color="auto"/>
        </w:rPr>
        <w:t>Madhuri</w:t>
      </w:r>
      <w:r w:rsidRPr="00FB6A89">
        <w:rPr>
          <w:rFonts w:ascii="Arial" w:hAnsi="Arial" w:cs="Arial"/>
          <w:bdr w:val="dotted" w:sz="4" w:space="0" w:color="auto"/>
        </w:rPr>
        <w:t xml:space="preserve"> </w:t>
      </w:r>
      <w:r>
        <w:rPr>
          <w:rStyle w:val="Surname"/>
          <w:bdr w:val="dotted" w:sz="4" w:space="0" w:color="auto"/>
        </w:rPr>
        <w:t>Wadehra</w:t>
      </w:r>
      <w:r w:rsidRPr="00FB6A89">
        <w:rPr>
          <w:rFonts w:ascii="Arial" w:hAnsi="Arial" w:cs="Arial"/>
          <w:bdr w:val="dotted" w:sz="4" w:space="0" w:color="auto"/>
          <w:vertAlign w:val="superscript"/>
        </w:rPr>
        <w:t>f</w:t>
      </w:r>
      <w:r>
        <w:rPr>
          <w:bdr w:val="dotted" w:sz="4" w:space="0" w:color="auto"/>
        </w:rPr>
        <w:t xml:space="preserve">, </w:t>
      </w:r>
      <w:r>
        <w:rPr>
          <w:rStyle w:val="CreditTaxonomy"/>
          <w:bdr w:val="dotted" w:sz="4" w:space="0" w:color="auto"/>
        </w:rPr>
        <w:t>Supervision</w:t>
      </w:r>
      <w:r w:rsidRPr="00FB6A89">
        <w:t>,</w:t>
      </w:r>
      <w:r w:rsidRPr="00FB6A89">
        <w:rPr>
          <w:rFonts w:ascii="Arial" w:hAnsi="Arial" w:cs="Arial"/>
        </w:rPr>
        <w:t xml:space="preserve"> </w:t>
      </w:r>
      <w:r>
        <w:rPr>
          <w:rStyle w:val="FirstName"/>
          <w:bdr w:val="dotted" w:sz="4" w:space="0" w:color="auto"/>
        </w:rPr>
        <w:t>Shunji</w:t>
      </w:r>
      <w:r w:rsidRPr="00FB6A89">
        <w:rPr>
          <w:rFonts w:ascii="Arial" w:hAnsi="Arial" w:cs="Arial"/>
          <w:bdr w:val="dotted" w:sz="4" w:space="0" w:color="auto"/>
        </w:rPr>
        <w:t xml:space="preserve"> </w:t>
      </w:r>
      <w:r>
        <w:rPr>
          <w:rStyle w:val="Surname"/>
          <w:bdr w:val="dotted" w:sz="4" w:space="0" w:color="auto"/>
        </w:rPr>
        <w:t>Tomatsu</w:t>
      </w:r>
      <w:r w:rsidRPr="00FB6A89">
        <w:rPr>
          <w:rFonts w:ascii="Arial" w:hAnsi="Arial" w:cs="Arial"/>
          <w:bdr w:val="dotted" w:sz="4" w:space="0" w:color="auto"/>
          <w:vertAlign w:val="superscript"/>
        </w:rPr>
        <w:t>g</w:t>
      </w:r>
      <w:r>
        <w:rPr>
          <w:bdr w:val="dotted" w:sz="4" w:space="0" w:color="auto"/>
        </w:rPr>
        <w:t xml:space="preserve">, </w:t>
      </w:r>
      <w:r>
        <w:rPr>
          <w:rStyle w:val="CreditTaxonomy"/>
          <w:bdr w:val="dotted" w:sz="4" w:space="0" w:color="auto"/>
        </w:rPr>
        <w:t>Writing – review &amp; editing, Supervision, Project administration, Methodology</w:t>
      </w:r>
      <w:r w:rsidRPr="00FB6A89">
        <w:t>,</w:t>
      </w:r>
      <w:r w:rsidRPr="00FB6A89">
        <w:rPr>
          <w:rFonts w:ascii="Arial" w:hAnsi="Arial" w:cs="Arial"/>
        </w:rPr>
        <w:t xml:space="preserve"> </w:t>
      </w:r>
      <w:r>
        <w:rPr>
          <w:rStyle w:val="FirstName"/>
          <w:bdr w:val="dotted" w:sz="4" w:space="0" w:color="auto"/>
        </w:rPr>
        <w:t>Anthony J.</w:t>
      </w:r>
      <w:r w:rsidRPr="00FB6A89">
        <w:rPr>
          <w:rFonts w:ascii="Arial" w:hAnsi="Arial" w:cs="Arial"/>
          <w:bdr w:val="dotted" w:sz="4" w:space="0" w:color="auto"/>
        </w:rPr>
        <w:t xml:space="preserve"> </w:t>
      </w:r>
      <w:r>
        <w:rPr>
          <w:rStyle w:val="Surname"/>
          <w:bdr w:val="dotted" w:sz="4" w:space="0" w:color="auto"/>
        </w:rPr>
        <w:t>Aldave</w:t>
      </w:r>
      <w:r>
        <w:rPr>
          <w:rFonts w:ascii="Arial" w:hAnsi="Arial" w:cs="Arial"/>
          <w:bdr w:val="dotted" w:sz="4" w:space="0" w:color="auto"/>
          <w:vertAlign w:val="superscript"/>
        </w:rPr>
        <w:t>a,*</w:t>
      </w:r>
      <w:r>
        <w:rPr>
          <w:rStyle w:val="Email"/>
          <w:bdr w:val="dotted" w:sz="4" w:space="0" w:color="auto"/>
        </w:rPr>
        <w:t>aldave@jsei.ucla.edu</w:t>
      </w:r>
      <w:commentRangeStart w:id="0"/>
      <w:commentRangeEnd w:id="0"/>
      <w:r>
        <w:commentReference w:id="0"/>
      </w:r>
    </w:p>
    <w:p w14:paraId="0646EAAB" w14:textId="07143FFA" w:rsidR="00212776" w:rsidRPr="00FB6A89" w:rsidRDefault="00FB6A89" w:rsidP="00FB6A89">
      <w:pPr>
        <w:pStyle w:val="Affiliation"/>
      </w:pPr>
      <w:r w:rsidRPr="00FB6A89">
        <w:rPr>
          <w:rFonts w:ascii="Arial" w:hAnsi="Arial" w:cs="Arial"/>
          <w:vertAlign w:val="superscript"/>
          <w:lang w:val="es-ES"/>
        </w:rPr>
        <w:t>a</w:t>
      </w:r>
      <w:r>
        <w:rPr>
          <w:rStyle w:val="OrgDiv"/>
        </w:rPr>
        <w:t>Stein Eye Institute</w:t>
      </w:r>
      <w:r>
        <w:rPr>
          <w:rFonts w:ascii="Arial" w:hAnsi="Arial" w:cs="Arial"/>
          <w:lang w:val="es-ES"/>
        </w:rPr>
        <w:t xml:space="preserve">, </w:t>
      </w:r>
      <w:r>
        <w:rPr>
          <w:rStyle w:val="OrgName"/>
        </w:rPr>
        <w:t>UCLA</w:t>
      </w:r>
      <w:r>
        <w:rPr>
          <w:rFonts w:ascii="Arial" w:hAnsi="Arial" w:cs="Arial"/>
          <w:lang w:val="es-ES"/>
        </w:rPr>
        <w:t xml:space="preserve">, </w:t>
      </w:r>
      <w:r>
        <w:rPr>
          <w:rStyle w:val="City"/>
        </w:rPr>
        <w:t>Los Angeles</w:t>
      </w:r>
      <w:r w:rsidRPr="00FB6A89">
        <w:rPr>
          <w:rFonts w:ascii="Arial" w:hAnsi="Arial" w:cs="Arial"/>
          <w:lang w:val="es-ES"/>
        </w:rPr>
        <w:t xml:space="preserve"> </w:t>
      </w:r>
      <w:r>
        <w:rPr>
          <w:rStyle w:val="Country"/>
        </w:rPr>
        <w:t>CA</w:t>
      </w:r>
    </w:p>
    <w:p w14:paraId="741F145B" w14:textId="017CF2E0" w:rsidR="00212776" w:rsidRPr="00FB6A89" w:rsidRDefault="00FB6A89" w:rsidP="00FB6A89">
      <w:pPr>
        <w:pStyle w:val="Affiliation"/>
      </w:pPr>
      <w:r w:rsidRPr="00FB6A89">
        <w:rPr>
          <w:rFonts w:ascii="Arial" w:hAnsi="Arial" w:cs="Arial"/>
          <w:vertAlign w:val="superscript"/>
        </w:rPr>
        <w:t>b</w:t>
      </w:r>
      <w:r>
        <w:rPr>
          <w:rStyle w:val="OrgDiv"/>
        </w:rPr>
        <w:t>Ho Chi Minh City Eye Hospital</w:t>
      </w:r>
      <w:r>
        <w:rPr>
          <w:rFonts w:ascii="Arial" w:hAnsi="Arial" w:cs="Arial"/>
        </w:rPr>
        <w:t xml:space="preserve">, </w:t>
      </w:r>
      <w:r>
        <w:rPr>
          <w:rStyle w:val="OrgName"/>
        </w:rPr>
        <w:t>Ho Chi Minh City</w:t>
      </w:r>
      <w:r>
        <w:rPr>
          <w:rFonts w:ascii="Arial" w:hAnsi="Arial" w:cs="Arial"/>
        </w:rPr>
        <w:t xml:space="preserve">, </w:t>
      </w:r>
      <w:r>
        <w:rPr>
          <w:rStyle w:val="Country"/>
        </w:rPr>
        <w:t>Vietnam</w:t>
      </w:r>
    </w:p>
    <w:p w14:paraId="738E2E01" w14:textId="0580E6A3" w:rsidR="00097A80" w:rsidRPr="00FB6A89" w:rsidRDefault="00FB6A89" w:rsidP="00FB6A89">
      <w:pPr>
        <w:pStyle w:val="Affiliation"/>
      </w:pPr>
      <w:r w:rsidRPr="00FB6A89">
        <w:rPr>
          <w:rFonts w:ascii="Arial" w:hAnsi="Arial" w:cs="Arial"/>
          <w:vertAlign w:val="superscript"/>
        </w:rPr>
        <w:t>c</w:t>
      </w:r>
      <w:r>
        <w:rPr>
          <w:rStyle w:val="OrgDiv"/>
        </w:rPr>
        <w:t>Department of Ophthalmology</w:t>
      </w:r>
      <w:r>
        <w:rPr>
          <w:rFonts w:ascii="Arial" w:hAnsi="Arial" w:cs="Arial"/>
        </w:rPr>
        <w:t xml:space="preserve">, </w:t>
      </w:r>
      <w:r>
        <w:rPr>
          <w:rStyle w:val="OrgName"/>
        </w:rPr>
        <w:t>Faculty of Medicine Ramathibodi Hospital</w:t>
      </w:r>
      <w:r>
        <w:rPr>
          <w:rFonts w:ascii="Arial" w:hAnsi="Arial" w:cs="Arial"/>
        </w:rPr>
        <w:t xml:space="preserve">, </w:t>
      </w:r>
      <w:r>
        <w:rPr>
          <w:rStyle w:val="OrgName"/>
        </w:rPr>
        <w:t>Mahidol University</w:t>
      </w:r>
      <w:r>
        <w:rPr>
          <w:rFonts w:ascii="Arial" w:hAnsi="Arial" w:cs="Arial"/>
        </w:rPr>
        <w:t xml:space="preserve">, </w:t>
      </w:r>
      <w:r>
        <w:rPr>
          <w:rStyle w:val="State"/>
        </w:rPr>
        <w:t>Bangkok</w:t>
      </w:r>
      <w:r>
        <w:rPr>
          <w:rFonts w:ascii="Arial" w:hAnsi="Arial" w:cs="Arial"/>
        </w:rPr>
        <w:t xml:space="preserve">, </w:t>
      </w:r>
      <w:r>
        <w:rPr>
          <w:rStyle w:val="Country"/>
        </w:rPr>
        <w:t>Thailand</w:t>
      </w:r>
    </w:p>
    <w:p w14:paraId="54E2A8DC" w14:textId="5BC12761" w:rsidR="00212776" w:rsidRPr="00FB6A89" w:rsidRDefault="00FB6A89" w:rsidP="00FB6A89">
      <w:pPr>
        <w:pStyle w:val="Affiliation"/>
      </w:pPr>
      <w:r w:rsidRPr="00FB6A89">
        <w:rPr>
          <w:rFonts w:ascii="Arial" w:hAnsi="Arial" w:cs="Arial"/>
          <w:vertAlign w:val="superscript"/>
        </w:rPr>
        <w:t>d</w:t>
      </w:r>
      <w:r>
        <w:rPr>
          <w:rStyle w:val="OrgDiv"/>
        </w:rPr>
        <w:t>Vietnam National Eye Hospital</w:t>
      </w:r>
      <w:r>
        <w:rPr>
          <w:rFonts w:ascii="Arial" w:hAnsi="Arial" w:cs="Arial"/>
        </w:rPr>
        <w:t xml:space="preserve">, </w:t>
      </w:r>
      <w:r>
        <w:rPr>
          <w:rStyle w:val="State"/>
        </w:rPr>
        <w:t>Hanoi</w:t>
      </w:r>
      <w:r>
        <w:rPr>
          <w:rFonts w:ascii="Arial" w:hAnsi="Arial" w:cs="Arial"/>
        </w:rPr>
        <w:t xml:space="preserve">, </w:t>
      </w:r>
      <w:r>
        <w:rPr>
          <w:rStyle w:val="Country"/>
        </w:rPr>
        <w:t>Vietnam</w:t>
      </w:r>
    </w:p>
    <w:p w14:paraId="0D2B6585" w14:textId="32FC3714" w:rsidR="00053D4E" w:rsidRPr="00FB6A89" w:rsidRDefault="00FB6A89" w:rsidP="00FB6A89">
      <w:pPr>
        <w:pStyle w:val="Affiliation"/>
      </w:pPr>
      <w:r w:rsidRPr="00FB6A89">
        <w:rPr>
          <w:vertAlign w:val="superscript"/>
        </w:rPr>
        <w:t>e</w:t>
      </w:r>
      <w:r>
        <w:rPr>
          <w:rStyle w:val="OrgName"/>
        </w:rPr>
        <w:t>University of Medicine and Pharmacy at Ho Chi Minh City</w:t>
      </w:r>
      <w:r>
        <w:rPr>
          <w:rFonts w:ascii="Arial" w:hAnsi="Arial" w:cs="Arial"/>
        </w:rPr>
        <w:t xml:space="preserve">, </w:t>
      </w:r>
      <w:r>
        <w:rPr>
          <w:rStyle w:val="City"/>
        </w:rPr>
        <w:t>Ho Chi Minh City</w:t>
      </w:r>
      <w:r>
        <w:rPr>
          <w:rFonts w:ascii="Arial" w:hAnsi="Arial" w:cs="Arial"/>
        </w:rPr>
        <w:t xml:space="preserve">, </w:t>
      </w:r>
      <w:r>
        <w:rPr>
          <w:rStyle w:val="Country"/>
        </w:rPr>
        <w:t>Vietnam</w:t>
      </w:r>
    </w:p>
    <w:p w14:paraId="7BC18043" w14:textId="12168F4E" w:rsidR="00212776" w:rsidRPr="00FB6A89" w:rsidRDefault="00FB6A89" w:rsidP="00FB6A89">
      <w:pPr>
        <w:pStyle w:val="Affiliation"/>
      </w:pPr>
      <w:r w:rsidRPr="00FB6A89">
        <w:rPr>
          <w:rFonts w:ascii="Arial" w:hAnsi="Arial" w:cs="Arial"/>
          <w:vertAlign w:val="superscript"/>
        </w:rPr>
        <w:t>f</w:t>
      </w:r>
      <w:r>
        <w:rPr>
          <w:rStyle w:val="OrgDiv"/>
        </w:rPr>
        <w:t>Department of Pathology and Laboratory Medicine</w:t>
      </w:r>
      <w:r>
        <w:rPr>
          <w:rFonts w:ascii="Arial" w:hAnsi="Arial" w:cs="Arial"/>
        </w:rPr>
        <w:t xml:space="preserve">, </w:t>
      </w:r>
      <w:r>
        <w:rPr>
          <w:rStyle w:val="OrgName"/>
        </w:rPr>
        <w:t>UCLA</w:t>
      </w:r>
      <w:r>
        <w:rPr>
          <w:rFonts w:ascii="Arial" w:hAnsi="Arial" w:cs="Arial"/>
        </w:rPr>
        <w:t xml:space="preserve">, </w:t>
      </w:r>
      <w:r>
        <w:rPr>
          <w:rStyle w:val="City"/>
        </w:rPr>
        <w:t>Los Angeles</w:t>
      </w:r>
      <w:r>
        <w:rPr>
          <w:rFonts w:ascii="Arial" w:hAnsi="Arial" w:cs="Arial"/>
        </w:rPr>
        <w:t xml:space="preserve">, </w:t>
      </w:r>
      <w:r>
        <w:rPr>
          <w:rStyle w:val="State"/>
        </w:rPr>
        <w:t>CA</w:t>
      </w:r>
    </w:p>
    <w:p w14:paraId="1B62E900" w14:textId="29711625" w:rsidR="00FE50C9" w:rsidRPr="00FB6A89" w:rsidRDefault="00FB6A89" w:rsidP="00FB6A89">
      <w:pPr>
        <w:pStyle w:val="Affiliation"/>
      </w:pPr>
      <w:r w:rsidRPr="00FB6A89">
        <w:rPr>
          <w:rFonts w:ascii="Arial" w:hAnsi="Arial" w:cs="Arial"/>
          <w:vertAlign w:val="superscript"/>
        </w:rPr>
        <w:t>g</w:t>
      </w:r>
      <w:r>
        <w:rPr>
          <w:rStyle w:val="OrgName"/>
        </w:rPr>
        <w:t>Nemours Children’s Health</w:t>
      </w:r>
      <w:r>
        <w:rPr>
          <w:rFonts w:ascii="Arial" w:hAnsi="Arial" w:cs="Arial"/>
        </w:rPr>
        <w:t xml:space="preserve">, </w:t>
      </w:r>
      <w:r>
        <w:rPr>
          <w:rStyle w:val="City"/>
        </w:rPr>
        <w:t>Wilmington</w:t>
      </w:r>
      <w:r>
        <w:rPr>
          <w:rFonts w:ascii="Arial" w:hAnsi="Arial" w:cs="Arial"/>
        </w:rPr>
        <w:t xml:space="preserve">, </w:t>
      </w:r>
      <w:r>
        <w:rPr>
          <w:rStyle w:val="Country"/>
        </w:rPr>
        <w:t>DE</w:t>
      </w:r>
    </w:p>
    <w:p w14:paraId="1FAFEC60" w14:textId="6E80E121" w:rsidR="00FE50C9" w:rsidRPr="00FB6A89" w:rsidRDefault="00FB6A89" w:rsidP="00FB6A89">
      <w:pPr>
        <w:pStyle w:val="Correspondence"/>
      </w:pPr>
      <w:r>
        <w:t xml:space="preserve">*Correspondence: </w:t>
      </w:r>
      <w:r>
        <w:rPr>
          <w:rStyle w:val="FirstName"/>
          <w:bdr w:val="dotted" w:sz="4" w:space="0" w:color="auto"/>
        </w:rPr>
        <w:t>Anthony J</w:t>
      </w:r>
      <w:r>
        <w:rPr>
          <w:bdr w:val="dotted" w:sz="4" w:space="0" w:color="auto"/>
        </w:rPr>
        <w:t xml:space="preserve">. </w:t>
      </w:r>
      <w:r>
        <w:rPr>
          <w:rStyle w:val="Surname"/>
          <w:bdr w:val="dotted" w:sz="4" w:space="0" w:color="auto"/>
        </w:rPr>
        <w:t>Aldave</w:t>
      </w:r>
      <w:r>
        <w:t xml:space="preserve">, </w:t>
      </w:r>
      <w:r>
        <w:rPr>
          <w:rStyle w:val="OrgDiv"/>
        </w:rPr>
        <w:t>Stein Eye Institute</w:t>
      </w:r>
      <w:r>
        <w:t xml:space="preserve">, </w:t>
      </w:r>
      <w:r>
        <w:rPr>
          <w:rStyle w:val="OrgName"/>
        </w:rPr>
        <w:t>David Geffen School of Medicine at UCLA</w:t>
      </w:r>
      <w:r>
        <w:t xml:space="preserve">, </w:t>
      </w:r>
      <w:r>
        <w:rPr>
          <w:rStyle w:val="Street"/>
        </w:rPr>
        <w:t>200 Stein Plaza, UCLA</w:t>
      </w:r>
      <w:r>
        <w:t xml:space="preserve">, </w:t>
      </w:r>
      <w:r>
        <w:rPr>
          <w:rStyle w:val="City"/>
        </w:rPr>
        <w:t>Los Angeles</w:t>
      </w:r>
      <w:r>
        <w:t xml:space="preserve">, </w:t>
      </w:r>
      <w:r>
        <w:rPr>
          <w:rStyle w:val="Country"/>
        </w:rPr>
        <w:t>CA</w:t>
      </w:r>
      <w:r w:rsidRPr="00FB6A89">
        <w:t xml:space="preserve"> </w:t>
      </w:r>
      <w:r>
        <w:rPr>
          <w:rStyle w:val="PinCode"/>
        </w:rPr>
        <w:t>90095-7003</w:t>
      </w:r>
      <w:r>
        <w:t xml:space="preserve">, Tel: </w:t>
      </w:r>
      <w:r>
        <w:rPr>
          <w:rStyle w:val="Phone"/>
        </w:rPr>
        <w:t>310-206-7202</w:t>
      </w:r>
    </w:p>
    <w:p w14:paraId="64DF6C01" w14:textId="1176687A" w:rsidR="008E1934" w:rsidRPr="00FB6A89" w:rsidRDefault="00FB6A89" w:rsidP="00FB6A89">
      <w:pPr>
        <w:pStyle w:val="AbsHead"/>
      </w:pPr>
      <w:r>
        <w:rPr>
          <w:rFonts w:ascii="Arial" w:hAnsi="Arial" w:cs="Arial"/>
          <w:bCs/>
        </w:rPr>
        <w:t>ABSTRACT</w:t>
      </w:r>
    </w:p>
    <w:p w14:paraId="6A3F5E11" w14:textId="360E18B9" w:rsidR="008E1934" w:rsidRPr="00FB6A89" w:rsidRDefault="00FB6A89" w:rsidP="00FB6A89">
      <w:pPr>
        <w:pStyle w:val="Abstract"/>
      </w:pPr>
      <w:r>
        <w:rPr>
          <w:rStyle w:val="Label"/>
        </w:rPr>
        <w:t>Objective</w:t>
      </w:r>
      <w:r>
        <w:t>: To report a CHST6-associated corneal endothelial dystrophy.</w:t>
      </w:r>
    </w:p>
    <w:p w14:paraId="1C08AE1C" w14:textId="700E97B3" w:rsidR="008E1934" w:rsidRPr="00FB6A89" w:rsidRDefault="00FB6A89" w:rsidP="00FB6A89">
      <w:pPr>
        <w:pStyle w:val="Abstract"/>
      </w:pPr>
      <w:r>
        <w:rPr>
          <w:rStyle w:val="Label"/>
        </w:rPr>
        <w:t>Design</w:t>
      </w:r>
      <w:r>
        <w:t>: Prospective observational case series.</w:t>
      </w:r>
    </w:p>
    <w:p w14:paraId="140C2C49" w14:textId="3E83894E" w:rsidR="008E1934" w:rsidRPr="00FB6A89" w:rsidRDefault="00FB6A89" w:rsidP="00FB6A89">
      <w:pPr>
        <w:pStyle w:val="Abstract"/>
      </w:pPr>
      <w:r>
        <w:rPr>
          <w:rStyle w:val="Label"/>
        </w:rPr>
        <w:lastRenderedPageBreak/>
        <w:t>Participants</w:t>
      </w:r>
      <w:r>
        <w:t>: Thirty-five individuals from seven families, including 13 affected individuals exhibiting corneal epithelial and stromal edema, peripheral posterior corneal macular opacities, and endothelial guttae, as well as 22 unaffected family members.</w:t>
      </w:r>
    </w:p>
    <w:p w14:paraId="320BA444" w14:textId="5C1272C3" w:rsidR="008E1934" w:rsidRPr="00FB6A89" w:rsidRDefault="00FB6A89" w:rsidP="00FB6A89">
      <w:pPr>
        <w:pStyle w:val="Abstract"/>
      </w:pPr>
      <w:r>
        <w:rPr>
          <w:rStyle w:val="Label"/>
        </w:rPr>
        <w:t>Methods</w:t>
      </w:r>
      <w:r>
        <w:t>: Whole-exome sequencing was performed in three families and Sanger sequencing of CHST6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CHST6 promoter containing CHST6 expression vector in human keratocytes (HK) and corneal endothelial cells (HCEnC).</w:t>
      </w:r>
    </w:p>
    <w:p w14:paraId="03A9A3F1" w14:textId="5DD0543B" w:rsidR="008E1934" w:rsidRPr="00FB6A89" w:rsidRDefault="00FB6A89" w:rsidP="00FB6A89">
      <w:pPr>
        <w:pStyle w:val="Abstract"/>
      </w:pPr>
      <w:r>
        <w:rPr>
          <w:rStyle w:val="Label"/>
        </w:rPr>
        <w:t>Main Outcome Measures</w:t>
      </w:r>
      <w:r>
        <w:t>: Clinical phenotype; genetic analysis; functional analysis of identified CHST6 mutations; serum KS levels; histologic examinations of DM.</w:t>
      </w:r>
    </w:p>
    <w:p w14:paraId="1E0302DC" w14:textId="79D882FA" w:rsidR="008E1934" w:rsidRPr="00FB6A89" w:rsidRDefault="00FB6A89" w:rsidP="00FB6A89">
      <w:pPr>
        <w:pStyle w:val="Abstract"/>
      </w:pPr>
      <w:r>
        <w:rPr>
          <w:rStyle w:val="Label"/>
        </w:rPr>
        <w:t>Results</w:t>
      </w:r>
      <w:r>
        <w:t>: All affected individuals demonstrated peripheral macular opacities at the level of DM. Visually significant corneal edema in affected individuals was successfully managed by endothelial keratoplasty. Genetic analysis demonstrated a rare CHST6 promoter mutation (c.-690G&gt;C) in the homozygous state in affected individuals from three families and in the compound heterozygous state with a CHST6 coding mutation (p.R211Q, p.Y268C or p.P280L) in affected individuals from the other four families. In silico analysis predicted c.-690G&gt;C to be a regulatory variant, located at the RNA polymerase II binding site. Functional analysis in vitro demonstrated that c.-690G&gt;C leads to increased KS sulfation the corneal 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1E2F9C0C" w:rsidR="008E1934" w:rsidRPr="00FB6A89" w:rsidRDefault="00FB6A89" w:rsidP="00FB6A89">
      <w:pPr>
        <w:pStyle w:val="Abstract"/>
      </w:pPr>
      <w:r>
        <w:rPr>
          <w:rStyle w:val="Label"/>
        </w:rPr>
        <w:t>Conclusions</w:t>
      </w:r>
      <w:r>
        <w:t>: We suggest the name Peripheral macular endothelial dystrophy (PMED) to describe this dystrophy that is characterized by peripheral posterior corneal macular opacities and endothelial dysfunction without stromal haze or opacities. Given that both PMED and macular corneal dystrophy are associated with promoter and coding region mutations in CHST6, we propose that they be categorized as CHST6-associated corneal dystrophies.</w:t>
      </w:r>
    </w:p>
    <w:p w14:paraId="3F9C7C46" w14:textId="1DA7303B" w:rsidR="00D27273" w:rsidRPr="00FB6A89" w:rsidRDefault="00FB6A89" w:rsidP="00FB6A89">
      <w:pPr>
        <w:pStyle w:val="KeyWordHead"/>
      </w:pPr>
      <w:r>
        <w:t>KEYWORDS</w:t>
      </w:r>
    </w:p>
    <w:p w14:paraId="31D63125" w14:textId="03438017" w:rsidR="00FE50C9" w:rsidRPr="00FB6A89" w:rsidRDefault="00FB6A89" w:rsidP="00FB6A89">
      <w:pPr>
        <w:pStyle w:val="KeyWords"/>
        <w:ind w:left="0"/>
      </w:pPr>
      <w:r>
        <w:t>Corneal endothelial dystrophy, CHST6, keratan sulfate</w:t>
      </w:r>
    </w:p>
    <w:p w14:paraId="406D1861" w14:textId="5D2C77B5" w:rsidR="00C20010" w:rsidRPr="00FB6A89" w:rsidRDefault="00FB6A89" w:rsidP="00FB6A89">
      <w:pPr>
        <w:pStyle w:val="Head1"/>
      </w:pPr>
      <w:r>
        <w:rPr>
          <w:rFonts w:ascii="Arial" w:hAnsi="Arial" w:cs="Arial"/>
        </w:rPr>
        <w:t>INTRODUCTION</w:t>
      </w:r>
    </w:p>
    <w:p w14:paraId="50EA88D9" w14:textId="7BD74AF1" w:rsidR="00FE50C9" w:rsidRPr="00FB6A89" w:rsidRDefault="00FB6A89" w:rsidP="00FB6A89">
      <w:pPr>
        <w:pStyle w:val="Para"/>
      </w:pPr>
      <w:r>
        <w:rPr>
          <w:rFonts w:ascii="Arial" w:hAnsi="Arial" w:cs="Arial"/>
        </w:rPr>
        <w:t>The corneal dystrophies are a group of inherited disorders that are typically bilateral, symmetric, slowly progressive and are not influenced by environmental or systemic factors</w:t>
      </w:r>
      <w:hyperlink w:anchor="bib1" w:history="1">
        <w:r w:rsidRPr="00480E93">
          <w:rPr>
            <w:rStyle w:val="Hyperlink"/>
            <w:rFonts w:ascii="Arial" w:hAnsi="Arial" w:cs="Arial"/>
            <w:noProof/>
            <w:vertAlign w:val="superscript"/>
          </w:rPr>
          <w:t>1</w:t>
        </w:r>
      </w:hyperlink>
      <w:r>
        <w:rPr>
          <w:rFonts w:ascii="Arial" w:hAnsi="Arial" w:cs="Arial"/>
        </w:rPr>
        <w:t xml:space="preserve">. Traditionally, corneal dystrophies have been anatomically classified, based on the layer of the cornea that is primarily affected: epithelium, Bowman layer, stroma and endothelium. However, the International Committee for the Classification of the Corneal Dystrophies has reclassified the dystrophies according to the cellular origin of the dystrophic deposits, and thus the </w:t>
      </w:r>
      <w:r>
        <w:rPr>
          <w:rFonts w:ascii="Arial" w:hAnsi="Arial" w:cs="Arial"/>
          <w:i/>
          <w:iCs/>
        </w:rPr>
        <w:t>TGFBI</w:t>
      </w:r>
      <w:r>
        <w:rPr>
          <w:rFonts w:ascii="Arial" w:hAnsi="Arial" w:cs="Arial"/>
        </w:rPr>
        <w:t xml:space="preserve"> dystrophies are now classified as epithelial-stromal dystrophies.</w:t>
      </w:r>
      <w:hyperlink w:anchor="bib2" w:history="1">
        <w:r w:rsidRPr="00480E93">
          <w:rPr>
            <w:rStyle w:val="Hyperlink"/>
            <w:rFonts w:ascii="Arial" w:hAnsi="Arial" w:cs="Arial"/>
            <w:noProof/>
            <w:vertAlign w:val="superscript"/>
          </w:rPr>
          <w:t>2</w:t>
        </w:r>
      </w:hyperlink>
      <w:r>
        <w:rPr>
          <w:rFonts w:ascii="Arial" w:hAnsi="Arial" w:cs="Arial"/>
        </w:rPr>
        <w:t xml:space="preserve"> In the case of macular corneal dystrophy (MCD), although histopathologic examination demonstrates non-sulfated/low-sulfated glycosaminoglycans (GAG) in both the stroma and the endothelium, it remains classified as a stromal dystrophy due to the presence of macular stromal deposits and diffuse stromal haze that characterize MCD and the absence of evidence of endothelial dysfunction in affected individuals.</w:t>
      </w:r>
    </w:p>
    <w:p w14:paraId="5DB23FB0" w14:textId="3C669B9F" w:rsidR="00FE50C9" w:rsidRPr="00FB6A89" w:rsidRDefault="00FB6A89" w:rsidP="00FB6A89">
      <w:pPr>
        <w:pStyle w:val="Para"/>
      </w:pPr>
      <w:r>
        <w:rPr>
          <w:rFonts w:ascii="Arial" w:hAnsi="Arial" w:cs="Arial"/>
        </w:rPr>
        <w:t xml:space="preserve">MCD is associated with mutations in the </w:t>
      </w:r>
      <w:r>
        <w:rPr>
          <w:rFonts w:ascii="Arial" w:hAnsi="Arial" w:cs="Arial"/>
          <w:i/>
          <w:iCs/>
        </w:rPr>
        <w:t>CHST6</w:t>
      </w:r>
      <w:r>
        <w:rPr>
          <w:rFonts w:ascii="Arial" w:hAnsi="Arial" w:cs="Arial"/>
        </w:rPr>
        <w:t xml:space="preserve"> gene, encoding </w:t>
      </w:r>
      <w:r>
        <w:rPr>
          <w:rFonts w:ascii="Arial" w:hAnsi="Arial" w:cs="Arial"/>
          <w:bCs/>
        </w:rPr>
        <w:t xml:space="preserve">corneal N-acetylglucosamine-6-O-sulfotransferase (CGn6ST or GlcNAc6ST), which plays an </w:t>
      </w:r>
      <w:r>
        <w:rPr>
          <w:rFonts w:ascii="Arial" w:hAnsi="Arial" w:cs="Arial"/>
        </w:rPr>
        <w:t>essential role in the sulfation of GAG in the cornea by</w:t>
      </w:r>
      <w:r>
        <w:rPr>
          <w:rFonts w:ascii="Arial" w:hAnsi="Arial" w:cs="Arial"/>
          <w:bCs/>
        </w:rPr>
        <w:t xml:space="preserve"> catalyzing the transfer of sulfate from 3'-phosphoadenosine 5'-phosphosulfate to position 6 of a non-reducing N-acetylglucosamine (GlcNAc) residue in keratan sulfate (KS). Decreased CGn6ST/GlcNAc6ST activity in the corneal keratocytes in individuals with </w:t>
      </w:r>
      <w:r>
        <w:rPr>
          <w:rFonts w:ascii="Arial" w:hAnsi="Arial" w:cs="Arial"/>
        </w:rPr>
        <w:t>MCD leads to the accumulation of Alcian blue-positive non-sulfated/low-sulfated GAG deposits (decreased sulfation of KS) within keratocytes and in the extracellular corneal stroma, resulting in loss of corneal clarity.</w:t>
      </w:r>
    </w:p>
    <w:p w14:paraId="7383A319" w14:textId="7E82F72C" w:rsidR="00FE50C9" w:rsidRPr="00FB6A89" w:rsidRDefault="00FB6A89" w:rsidP="00FB6A89">
      <w:pPr>
        <w:pStyle w:val="Para"/>
      </w:pPr>
      <w:r>
        <w:rPr>
          <w:rFonts w:ascii="Arial" w:hAnsi="Arial" w:cs="Arial"/>
        </w:rPr>
        <w:lastRenderedPageBreak/>
        <w:t xml:space="preserve">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 Given this, the development of corneal edema in symptomatic individuals and the successful restoration of vision with endothelial keratoplasty as well as the functional impact of the associated </w:t>
      </w:r>
      <w:r>
        <w:rPr>
          <w:rFonts w:ascii="Arial" w:hAnsi="Arial" w:cs="Arial"/>
          <w:bCs/>
          <w:i/>
          <w:iCs/>
        </w:rPr>
        <w:t xml:space="preserve">CHST6 </w:t>
      </w:r>
      <w:r>
        <w:rPr>
          <w:rFonts w:ascii="Arial" w:hAnsi="Arial" w:cs="Arial"/>
          <w:bCs/>
        </w:rPr>
        <w:t xml:space="preserve">promoter </w:t>
      </w:r>
      <w:r>
        <w:rPr>
          <w:rFonts w:ascii="Arial" w:hAnsi="Arial" w:cs="Arial"/>
        </w:rPr>
        <w:t xml:space="preserve">mutation, we propose the classification of this dystrophy, which we have named </w:t>
      </w:r>
      <w:r>
        <w:rPr>
          <w:rFonts w:ascii="Arial" w:hAnsi="Arial" w:cs="Arial"/>
          <w:bCs/>
        </w:rPr>
        <w:t>Peripheral macular endothelial dystrophy (PMED)</w:t>
      </w:r>
      <w:r>
        <w:rPr>
          <w:rFonts w:ascii="Arial" w:hAnsi="Arial" w:cs="Arial"/>
        </w:rPr>
        <w:t xml:space="preserve">, and MCD as </w:t>
      </w:r>
      <w:r>
        <w:rPr>
          <w:rFonts w:ascii="Arial" w:hAnsi="Arial" w:cs="Arial"/>
          <w:i/>
          <w:iCs/>
        </w:rPr>
        <w:t>CHST6</w:t>
      </w:r>
      <w:r>
        <w:rPr>
          <w:rFonts w:ascii="Arial" w:hAnsi="Arial" w:cs="Arial"/>
        </w:rPr>
        <w:t>-associated corneal dystrophies.</w:t>
      </w:r>
    </w:p>
    <w:p w14:paraId="56DCB36F" w14:textId="461B612A" w:rsidR="00681009" w:rsidRPr="00C71C49" w:rsidRDefault="00C71C49" w:rsidP="00C71C49">
      <w:pPr>
        <w:pStyle w:val="Head1"/>
      </w:pPr>
      <w:r>
        <w:rPr>
          <w:rFonts w:ascii="Arial" w:hAnsi="Arial" w:cs="Arial"/>
        </w:rPr>
        <w:t>MATERIALS AND METHODS</w:t>
      </w:r>
    </w:p>
    <w:p w14:paraId="6DFC7930" w14:textId="7D09D69A" w:rsidR="00F23C1E" w:rsidRPr="00C71C49" w:rsidRDefault="00C71C49" w:rsidP="00C71C49">
      <w:pPr>
        <w:pStyle w:val="Para"/>
      </w:pPr>
      <w:r>
        <w:rPr>
          <w:rFonts w:ascii="Arial" w:hAnsi="Arial" w:cs="Arial"/>
          <w:bCs/>
        </w:rPr>
        <w:t xml:space="preserve">Approval for this </w:t>
      </w:r>
      <w:r>
        <w:rPr>
          <w:rFonts w:ascii="Arial" w:hAnsi="Arial" w:cs="Arial"/>
        </w:rPr>
        <w:t>observational case series</w:t>
      </w:r>
      <w:r>
        <w:rPr>
          <w:rFonts w:ascii="Arial" w:hAnsi="Arial" w:cs="Arial"/>
          <w:bCs/>
        </w:rPr>
        <w:t xml:space="preserve"> was obtained from the Institutional Review Board at the University of California at Los Angeles (UCLA IRB#11–000020). Written informed consent was obtained from all subjects in this study according to the tenets of the Declaration of Helsinki.</w:t>
      </w:r>
    </w:p>
    <w:p w14:paraId="09C211E3" w14:textId="316098FD" w:rsidR="00F23C1E" w:rsidRPr="00C71C49" w:rsidRDefault="00C71C49" w:rsidP="00C71C49">
      <w:pPr>
        <w:pStyle w:val="Head2"/>
      </w:pPr>
      <w:r>
        <w:rPr>
          <w:rFonts w:ascii="Arial" w:hAnsi="Arial" w:cs="Arial"/>
          <w:bCs/>
          <w:iCs/>
        </w:rPr>
        <w:t>Clinical Evaluation</w:t>
      </w:r>
    </w:p>
    <w:p w14:paraId="12F1A9B7" w14:textId="0E39E751" w:rsidR="00681009" w:rsidRPr="00C71C49" w:rsidRDefault="00C71C49" w:rsidP="00C71C49">
      <w:pPr>
        <w:pStyle w:val="Para"/>
      </w:pPr>
      <w:r>
        <w:rPr>
          <w:rFonts w:ascii="Arial" w:hAnsi="Arial" w:cs="Arial"/>
          <w:bCs/>
        </w:rPr>
        <w:t>All affected and unaffected individuals from seven families who agreed to participate in the study underwent a comprehensive ophthalmic examination (</w:t>
      </w:r>
      <w:hyperlink w:anchor="fig1" w:history="1">
        <w:r>
          <w:rPr>
            <w:rStyle w:val="Hyperlink"/>
            <w:rFonts w:ascii="Arial" w:hAnsi="Arial" w:cs="Arial"/>
            <w:bCs/>
          </w:rPr>
          <w:t>Fig. 1</w:t>
        </w:r>
      </w:hyperlink>
      <w:r>
        <w:rPr>
          <w:rFonts w:ascii="Arial" w:hAnsi="Arial" w:cs="Arial"/>
          <w:bCs/>
        </w:rPr>
        <w:t>), including slit lamp biomicroscopy and photography, ultrasound biomicroscopy (UBM), Scheimpflug imaging (Oculus Pentacam), and anterior segment optical coherence tomography (AS-OCT). The diagnosis of PMED was established based on the presence of round, gray-white, discrete deposits confined to the peripheral Descemet membrane (DM) or posterior surface of the cornea, without stromal opacities or haze and with or without corneal epithelial and/or stromal edema.</w:t>
      </w:r>
    </w:p>
    <w:p w14:paraId="51EB99C3" w14:textId="3A064268" w:rsidR="00A8119E" w:rsidRPr="00C71C49" w:rsidRDefault="00C71C49" w:rsidP="00C71C49">
      <w:pPr>
        <w:pStyle w:val="Head2"/>
      </w:pPr>
      <w:r>
        <w:rPr>
          <w:rFonts w:ascii="Arial" w:hAnsi="Arial" w:cs="Arial"/>
          <w:bCs/>
          <w:iCs/>
        </w:rPr>
        <w:t>Sanger Sequencing of CHST6</w:t>
      </w:r>
    </w:p>
    <w:p w14:paraId="78E32718" w14:textId="413BD57E" w:rsidR="00FE50C9" w:rsidRPr="00C71C49" w:rsidRDefault="00C71C49" w:rsidP="00C71C49">
      <w:pPr>
        <w:pStyle w:val="Para"/>
      </w:pPr>
      <w:r>
        <w:rPr>
          <w:rFonts w:ascii="Arial" w:hAnsi="Arial" w:cs="Arial"/>
          <w:bCs/>
        </w:rPr>
        <w:t>After obtaining informed consent, saliva and/or blood samples were collected from members of each of the seven families using a saliva collection kit (Oragene, DNA Genotek, Inc.) or a standard phlebotomy procedure. Genomic DNA was isolated from saliva samples using the Oragene Purifier (OG-L2P, DNA Genotek, Inc.) and from blood samples using the FlexiGene DNA Kit (QIAGEN), according to the manufacturer’s instructions.</w:t>
      </w:r>
      <w:r w:rsidRPr="00C71C49">
        <w:rPr>
          <w:rFonts w:ascii="Arial" w:hAnsi="Arial" w:cs="Arial"/>
          <w:b/>
        </w:rPr>
        <w:t xml:space="preserve"> </w:t>
      </w:r>
      <w:r>
        <w:rPr>
          <w:rFonts w:ascii="Arial" w:hAnsi="Arial" w:cs="Arial"/>
          <w:bCs/>
        </w:rPr>
        <w:t xml:space="preserve">Each of the three exons of </w:t>
      </w:r>
      <w:r>
        <w:rPr>
          <w:rFonts w:ascii="Arial" w:hAnsi="Arial" w:cs="Arial"/>
          <w:bCs/>
          <w:i/>
          <w:iCs/>
        </w:rPr>
        <w:t>CHST6</w:t>
      </w:r>
      <w:r>
        <w:rPr>
          <w:rFonts w:ascii="Arial" w:hAnsi="Arial" w:cs="Arial"/>
          <w:bCs/>
        </w:rPr>
        <w:t xml:space="preserve"> and the 2.5 kb region upstream of exon 1 were amplified by PCR and sequenced using Sanger sequencing (Supplemental Materials, Primers and PCR conditions used for </w:t>
      </w:r>
      <w:r>
        <w:rPr>
          <w:rFonts w:ascii="Arial" w:hAnsi="Arial" w:cs="Arial"/>
          <w:bCs/>
          <w:i/>
          <w:iCs/>
        </w:rPr>
        <w:t>CHST6</w:t>
      </w:r>
      <w:r>
        <w:rPr>
          <w:rFonts w:ascii="Arial" w:hAnsi="Arial" w:cs="Arial"/>
          <w:bCs/>
        </w:rPr>
        <w:t xml:space="preserve"> screening) (Supplemental Table 1). Sequences were compared to the wild-type </w:t>
      </w:r>
      <w:r>
        <w:rPr>
          <w:rFonts w:ascii="Arial" w:hAnsi="Arial" w:cs="Arial"/>
          <w:bCs/>
          <w:i/>
          <w:iCs/>
        </w:rPr>
        <w:t>CHST6</w:t>
      </w:r>
      <w:r>
        <w:rPr>
          <w:rFonts w:ascii="Arial" w:hAnsi="Arial" w:cs="Arial"/>
          <w:bCs/>
        </w:rPr>
        <w:t xml:space="preserve"> gene transcript (NM_021615), and the minor allele frequencies (MAF) of identified variants were obtained from public databases including Exome Aggregation Consortium (ExAC), 1000 Genomes Project (1000Genome), Trans-Omics for Precision Medicine (TOPMED) and Genome Aggregation Database (gnomAD). A rare variant was defined as a variant with MAF &lt; 0.01 in all databases.</w:t>
      </w:r>
    </w:p>
    <w:p w14:paraId="36176D5D" w14:textId="27B742E9" w:rsidR="00717D06" w:rsidRPr="00C71C49" w:rsidRDefault="00C71C49" w:rsidP="00C71C49">
      <w:pPr>
        <w:pStyle w:val="Head2"/>
      </w:pPr>
      <w:r>
        <w:rPr>
          <w:rFonts w:ascii="Arial" w:hAnsi="Arial" w:cs="Arial"/>
          <w:bCs/>
          <w:iCs/>
        </w:rPr>
        <w:t>Whole Exome Sequencing (WES) and Data Analysis</w:t>
      </w:r>
    </w:p>
    <w:p w14:paraId="663208A1" w14:textId="2CA2A870" w:rsidR="00F23C1E" w:rsidRPr="00C71C49" w:rsidRDefault="00C71C49" w:rsidP="00C71C49">
      <w:pPr>
        <w:pStyle w:val="Para"/>
      </w:pPr>
      <w:r>
        <w:rPr>
          <w:rFonts w:ascii="Arial" w:hAnsi="Arial" w:cs="Arial"/>
          <w:bCs/>
        </w:rPr>
        <w:t>WES was performed on the genomic DNA of all enrolled members from PMED families A, B, and C (</w:t>
      </w:r>
      <w:hyperlink w:anchor="fig1" w:history="1">
        <w:r>
          <w:rPr>
            <w:rStyle w:val="Hyperlink"/>
            <w:rFonts w:ascii="Arial" w:hAnsi="Arial" w:cs="Arial"/>
            <w:bCs/>
          </w:rPr>
          <w:t>Fig. 1</w:t>
        </w:r>
      </w:hyperlink>
      <w:r>
        <w:rPr>
          <w:rFonts w:ascii="Arial" w:hAnsi="Arial" w:cs="Arial"/>
          <w:bCs/>
        </w:rPr>
        <w:t>). DNA libraries were prepared using the TruSeq DNA Sample Preparation Kit v2 (Illumina Inc.), and exome capture was performed with the SeqCap EZ Exome Library v3.0 (Roche NimbleGen, Inc.). Paired-end sequencing (2×150 bp) was carried out on Illumina’s HiSeq 3000 platform. The generated raw sequence reads were aligned to Genome Research Consortium human build 38 (GRCh38) using Burrows-Wheeler Aligner (BWA) in maximal exact match (MEM) mode and subsequently processed following the Genome Analysis Toolkit (GATK) best practice guidelines for variant calling (Supplemental Materials, GATK variant calling). After variant calling, common variants (MAF &gt; 0.01) were filtered out, and rare variants were annotated using the Ensembl Variant Effect Predictor (VEP) online tool. Coding non-synonymous variants and splice site variants were retained and analyzed for segregation with the affected status in Family C using both autosomal recessive and autosomal dominant models, and genes containing potentially pathogenic variants were subsequently screened in members of Families B and C (Supplemental Materials, WES variant filtration).</w:t>
      </w:r>
    </w:p>
    <w:p w14:paraId="60C8E231" w14:textId="709E26C3" w:rsidR="0041222F" w:rsidRPr="00C71C49" w:rsidRDefault="00C71C49" w:rsidP="00C71C49">
      <w:pPr>
        <w:pStyle w:val="Head2"/>
      </w:pPr>
      <w:r>
        <w:rPr>
          <w:rFonts w:ascii="Arial" w:hAnsi="Arial" w:cs="Arial"/>
          <w:bCs/>
          <w:iCs/>
        </w:rPr>
        <w:t>In silico variant prediction and scoring</w:t>
      </w:r>
    </w:p>
    <w:p w14:paraId="6006E6AB" w14:textId="023B32D1" w:rsidR="0041222F" w:rsidRPr="00480E93" w:rsidRDefault="00C71C49" w:rsidP="00C71C49">
      <w:pPr>
        <w:pStyle w:val="Para"/>
      </w:pPr>
      <w:r>
        <w:rPr>
          <w:rFonts w:ascii="Arial" w:hAnsi="Arial" w:cs="Arial"/>
          <w:bCs/>
        </w:rPr>
        <w:t xml:space="preserve">The identified </w:t>
      </w:r>
      <w:r>
        <w:rPr>
          <w:rFonts w:ascii="Arial" w:hAnsi="Arial" w:cs="Arial"/>
          <w:bCs/>
          <w:i/>
          <w:iCs/>
        </w:rPr>
        <w:t>CHST6</w:t>
      </w:r>
      <w:r>
        <w:rPr>
          <w:rFonts w:ascii="Arial" w:hAnsi="Arial" w:cs="Arial"/>
          <w:bCs/>
        </w:rPr>
        <w:t xml:space="preserve"> coding variants were analyzed using the online tools PredictSNP2 and PolyPhen-2 to assess their potential impact on protein function.</w:t>
      </w:r>
      <w:hyperlink w:anchor="bib3" w:history="1">
        <w:r w:rsidRPr="00480E93">
          <w:rPr>
            <w:rStyle w:val="Hyperlink"/>
            <w:rFonts w:ascii="Arial" w:hAnsi="Arial" w:cs="Arial"/>
            <w:bCs/>
            <w:noProof/>
            <w:vertAlign w:val="superscript"/>
          </w:rPr>
          <w:t>3</w:t>
        </w:r>
      </w:hyperlink>
      <w:r w:rsidRPr="00C71C49">
        <w:rPr>
          <w:rFonts w:ascii="Arial" w:hAnsi="Arial" w:cs="Arial"/>
          <w:bCs/>
          <w:vertAlign w:val="superscript"/>
        </w:rPr>
        <w:t>,</w:t>
      </w:r>
      <w:hyperlink w:anchor="bib4" w:history="1">
        <w:r w:rsidRPr="00480E93">
          <w:rPr>
            <w:rStyle w:val="Hyperlink"/>
            <w:rFonts w:ascii="Arial" w:hAnsi="Arial" w:cs="Arial"/>
            <w:bCs/>
            <w:noProof/>
            <w:vertAlign w:val="superscript"/>
          </w:rPr>
          <w:t>4</w:t>
        </w:r>
      </w:hyperlink>
      <w:r>
        <w:rPr>
          <w:rFonts w:ascii="Arial" w:hAnsi="Arial" w:cs="Arial"/>
          <w:bCs/>
        </w:rPr>
        <w:t xml:space="preserve"> PredictSNP2 is a consensus classifier that combines five prediction methods, including Combined Annotation Dependent Depletion (CADD), Deleterious Annotation of Genetic Variants using Neural Networks (DANN), Functional Analysis through Hidden Markov Models (FATHMM), FunSeq2 and Genome Wide Annotation of Variants (GWAVA).</w:t>
      </w:r>
      <w:hyperlink w:anchor="bib3" w:history="1">
        <w:r w:rsidRPr="00480E93">
          <w:rPr>
            <w:rStyle w:val="Hyperlink"/>
            <w:rFonts w:ascii="Arial" w:hAnsi="Arial" w:cs="Arial"/>
            <w:bCs/>
            <w:noProof/>
            <w:vertAlign w:val="superscript"/>
          </w:rPr>
          <w:t>3</w:t>
        </w:r>
      </w:hyperlink>
      <w:r w:rsidRPr="00C71C49">
        <w:rPr>
          <w:rFonts w:ascii="Arial" w:hAnsi="Arial" w:cs="Arial"/>
        </w:rPr>
        <w:t xml:space="preserve"> </w:t>
      </w:r>
      <w:r>
        <w:rPr>
          <w:rFonts w:ascii="Arial" w:hAnsi="Arial" w:cs="Arial"/>
          <w:bCs/>
        </w:rPr>
        <w:t xml:space="preserve">The identified </w:t>
      </w:r>
      <w:r>
        <w:rPr>
          <w:rFonts w:ascii="Arial" w:hAnsi="Arial" w:cs="Arial"/>
          <w:bCs/>
          <w:i/>
          <w:iCs/>
        </w:rPr>
        <w:t>CHST6</w:t>
      </w:r>
      <w:r>
        <w:rPr>
          <w:rFonts w:ascii="Arial" w:hAnsi="Arial" w:cs="Arial"/>
          <w:bCs/>
        </w:rPr>
        <w:t xml:space="preserve"> promoter variants were analyzed using the online tool RegulomeDB to determine the likelihood of each variant being in a regulatory region bound by subunits of transcriptional machinery and/or transcriptional factors.</w:t>
      </w:r>
      <w:hyperlink w:anchor="bib5" w:history="1">
        <w:r w:rsidRPr="00480E93">
          <w:rPr>
            <w:rStyle w:val="Hyperlink"/>
            <w:rFonts w:ascii="Arial" w:hAnsi="Arial" w:cs="Arial"/>
            <w:bCs/>
            <w:noProof/>
            <w:vertAlign w:val="superscript"/>
          </w:rPr>
          <w:t>5</w:t>
        </w:r>
      </w:hyperlink>
      <w:r>
        <w:rPr>
          <w:rFonts w:ascii="Arial" w:hAnsi="Arial" w:cs="Arial"/>
          <w:bCs/>
        </w:rPr>
        <w:t xml:space="preserve"> The RegulomeDB score represents a model that integrates functional genomics features, including continuous values from multiple databases such as chromatin immunoprecipitation sequencing (ChIP-seq) signal and DNase-seq signal from The Encyclopedia of DNA Elements (ENCODE), information content change, and predicted scores from the deep learning sequence-based algorithmic program DeepSEA.</w:t>
      </w:r>
      <w:hyperlink w:anchor="bib6" w:history="1">
        <w:r w:rsidRPr="00480E93">
          <w:rPr>
            <w:rStyle w:val="Hyperlink"/>
            <w:rFonts w:ascii="Arial" w:hAnsi="Arial" w:cs="Arial"/>
            <w:bCs/>
            <w:noProof/>
            <w:vertAlign w:val="superscript"/>
          </w:rPr>
          <w:t>6</w:t>
        </w:r>
      </w:hyperlink>
      <w:r w:rsidRPr="00C71C49">
        <w:rPr>
          <w:rFonts w:ascii="Arial" w:hAnsi="Arial" w:cs="Arial"/>
          <w:bCs/>
          <w:vertAlign w:val="superscript"/>
        </w:rPr>
        <w:t>,</w:t>
      </w:r>
      <w:hyperlink w:anchor="bib7" w:history="1">
        <w:r w:rsidRPr="00480E93">
          <w:rPr>
            <w:rStyle w:val="Hyperlink"/>
            <w:rFonts w:ascii="Arial" w:hAnsi="Arial" w:cs="Arial"/>
            <w:bCs/>
            <w:noProof/>
            <w:vertAlign w:val="superscript"/>
          </w:rPr>
          <w:t>7</w:t>
        </w:r>
      </w:hyperlink>
    </w:p>
    <w:p w14:paraId="18F6C7FC" w14:textId="73516F9B" w:rsidR="0041222F" w:rsidRPr="0025612C" w:rsidRDefault="0025612C" w:rsidP="0025612C">
      <w:pPr>
        <w:pStyle w:val="Head2"/>
      </w:pPr>
      <w:r>
        <w:rPr>
          <w:rFonts w:ascii="Arial" w:hAnsi="Arial" w:cs="Arial"/>
          <w:bCs/>
          <w:iCs/>
        </w:rPr>
        <w:t>In vitro CHST6 functional assay</w:t>
      </w:r>
    </w:p>
    <w:p w14:paraId="07F5B2C9" w14:textId="09A78A21" w:rsidR="00FE50C9" w:rsidRPr="0025612C" w:rsidRDefault="0025612C" w:rsidP="0025612C">
      <w:pPr>
        <w:pStyle w:val="Para"/>
      </w:pPr>
      <w:r>
        <w:rPr>
          <w:rFonts w:ascii="Arial" w:hAnsi="Arial" w:cs="Arial"/>
          <w:bCs/>
        </w:rPr>
        <w:t xml:space="preserve">For the functional assay, we generated a </w:t>
      </w:r>
      <w:r>
        <w:rPr>
          <w:rFonts w:ascii="Arial" w:hAnsi="Arial" w:cs="Arial"/>
          <w:bCs/>
          <w:i/>
        </w:rPr>
        <w:t>CHST6</w:t>
      </w:r>
      <w:r>
        <w:rPr>
          <w:rFonts w:ascii="Arial" w:hAnsi="Arial" w:cs="Arial"/>
          <w:bCs/>
        </w:rPr>
        <w:t xml:space="preserve"> expression vector containing the native promoter of </w:t>
      </w:r>
      <w:r>
        <w:rPr>
          <w:rFonts w:ascii="Arial" w:hAnsi="Arial" w:cs="Arial"/>
          <w:bCs/>
          <w:i/>
        </w:rPr>
        <w:t>CHST6</w:t>
      </w:r>
      <w:r>
        <w:rPr>
          <w:rFonts w:ascii="Arial" w:hAnsi="Arial" w:cs="Arial"/>
          <w:bCs/>
        </w:rPr>
        <w:t xml:space="preserve">. Briefly, a 1439 bp fragment encompassing exon 1 of the </w:t>
      </w:r>
      <w:r>
        <w:rPr>
          <w:rFonts w:ascii="Arial" w:hAnsi="Arial" w:cs="Arial"/>
          <w:bCs/>
          <w:i/>
          <w:iCs/>
        </w:rPr>
        <w:t xml:space="preserve">CHST6 </w:t>
      </w:r>
      <w:r>
        <w:rPr>
          <w:rFonts w:ascii="Arial" w:hAnsi="Arial" w:cs="Arial"/>
          <w:bCs/>
        </w:rPr>
        <w:t xml:space="preserve">gene, the predicted </w:t>
      </w:r>
      <w:r>
        <w:rPr>
          <w:rFonts w:ascii="Arial" w:hAnsi="Arial" w:cs="Arial"/>
          <w:bCs/>
          <w:i/>
          <w:iCs/>
        </w:rPr>
        <w:t>CHST6</w:t>
      </w:r>
      <w:r>
        <w:rPr>
          <w:rFonts w:ascii="Arial" w:hAnsi="Arial" w:cs="Arial"/>
          <w:bCs/>
        </w:rPr>
        <w:t xml:space="preserve"> promoter and two adjacent enhancers (identified based on ENCODE registry of candidate cis-regulatory elements (cCREs)), was cloned into the previously described CHST6 expression vector pcDNA3-CGn6ST.</w:t>
      </w:r>
      <w:hyperlink w:anchor="bib8" w:history="1">
        <w:r w:rsidRPr="00480E93">
          <w:rPr>
            <w:rStyle w:val="Hyperlink"/>
            <w:rFonts w:ascii="Arial" w:hAnsi="Arial" w:cs="Arial"/>
            <w:bCs/>
            <w:noProof/>
            <w:vertAlign w:val="superscript"/>
          </w:rPr>
          <w:t>8</w:t>
        </w:r>
      </w:hyperlink>
      <w:r w:rsidRPr="0025612C">
        <w:rPr>
          <w:rFonts w:ascii="Arial" w:hAnsi="Arial" w:cs="Arial"/>
          <w:bCs/>
          <w:vertAlign w:val="superscript"/>
        </w:rPr>
        <w:t>,</w:t>
      </w:r>
      <w:hyperlink w:anchor="bib9" w:history="1">
        <w:r w:rsidRPr="00480E93">
          <w:rPr>
            <w:rStyle w:val="Hyperlink"/>
            <w:rFonts w:ascii="Arial" w:hAnsi="Arial" w:cs="Arial"/>
            <w:bCs/>
            <w:noProof/>
            <w:vertAlign w:val="superscript"/>
          </w:rPr>
          <w:t>9</w:t>
        </w:r>
      </w:hyperlink>
      <w:r>
        <w:rPr>
          <w:rFonts w:ascii="Arial" w:hAnsi="Arial" w:cs="Arial"/>
          <w:bCs/>
        </w:rPr>
        <w:t xml:space="preserve"> The cloning replaced the sequences of CMV enhancer-containing promoter and T7 promoter. The pcDNA3-CGn6ST vector contains the nucleotide sequences of exons 2 and 3 of the </w:t>
      </w:r>
      <w:r>
        <w:rPr>
          <w:rFonts w:ascii="Arial" w:hAnsi="Arial" w:cs="Arial"/>
          <w:bCs/>
          <w:i/>
          <w:iCs/>
        </w:rPr>
        <w:t>CHST6</w:t>
      </w:r>
      <w:r>
        <w:rPr>
          <w:rFonts w:ascii="Arial" w:hAnsi="Arial" w:cs="Arial"/>
          <w:bCs/>
        </w:rPr>
        <w:t xml:space="preserve"> gene. The newly cloned </w:t>
      </w:r>
      <w:r>
        <w:rPr>
          <w:rFonts w:ascii="Arial" w:hAnsi="Arial" w:cs="Arial"/>
          <w:bCs/>
          <w:i/>
          <w:iCs/>
        </w:rPr>
        <w:t>CHST6</w:t>
      </w:r>
      <w:r>
        <w:rPr>
          <w:rFonts w:ascii="Arial" w:hAnsi="Arial" w:cs="Arial"/>
          <w:bCs/>
        </w:rPr>
        <w:t xml:space="preserve"> native promoter-containing CHST6 expression vector was named pcDNA3-CGn6STwPro and contained the wild-type sequences of the non-coding 5’ region, the non-coding exons 1 and 2, and the entire coding sequence of exon 3 of the </w:t>
      </w:r>
      <w:r>
        <w:rPr>
          <w:rFonts w:ascii="Arial" w:hAnsi="Arial" w:cs="Arial"/>
          <w:bCs/>
          <w:i/>
          <w:iCs/>
        </w:rPr>
        <w:t>CHST6</w:t>
      </w:r>
      <w:r>
        <w:rPr>
          <w:rFonts w:ascii="Arial" w:hAnsi="Arial" w:cs="Arial"/>
          <w:bCs/>
        </w:rPr>
        <w:t xml:space="preserve"> gene. Site-directed mutagenesis was then performed on pcDNA3-CGn6STwPro, also denoted as CGn6STwPro_WT, to generate nucleotide changes consistent with the mutations found in PMED pedigrees (QuikChange Lightning Site-Directed Mutagenesis Kit, Agilent Technologies). The following three single mutant constructs were created: CGn6STwPro_c.-690G&gt;C, CGn6STwPro_Y268C (nucleotide change c.803A&gt;G), and CGn6STwPro_P280L (nucleotide change c.839C&gt;T). Additionally, exon 1 of the </w:t>
      </w:r>
      <w:r>
        <w:rPr>
          <w:rFonts w:ascii="Arial" w:hAnsi="Arial" w:cs="Arial"/>
          <w:bCs/>
          <w:i/>
          <w:iCs/>
        </w:rPr>
        <w:t xml:space="preserve">CHST6 </w:t>
      </w:r>
      <w:r>
        <w:rPr>
          <w:rFonts w:ascii="Arial" w:hAnsi="Arial" w:cs="Arial"/>
          <w:bCs/>
        </w:rPr>
        <w:t>gene along with surrounding sequences (1439 bp) from the proband of family B was cloned into pcDNA3-CGn6ST using the same method as described above. This generated pcDNA3-CGn6STwPro_PT, which contained three adjacent variants (c.[-668C&gt;T; -690G&gt;C; -792C&gt;T]). All mutations were confirmed by Sanger sequencing (Laragen, Inc., Culver City, CA).</w:t>
      </w:r>
    </w:p>
    <w:p w14:paraId="4A1FEB5A" w14:textId="2E72D205" w:rsidR="00FE50C9" w:rsidRPr="0025612C" w:rsidRDefault="0025612C" w:rsidP="0025612C">
      <w:pPr>
        <w:pStyle w:val="Para"/>
      </w:pPr>
      <w:r>
        <w:rPr>
          <w:rFonts w:ascii="Arial" w:hAnsi="Arial" w:cs="Arial"/>
          <w:bCs/>
        </w:rPr>
        <w:t xml:space="preserve">To investigate the functional impact of the identified </w:t>
      </w:r>
      <w:r>
        <w:rPr>
          <w:rFonts w:ascii="Arial" w:hAnsi="Arial" w:cs="Arial"/>
          <w:bCs/>
          <w:i/>
          <w:iCs/>
        </w:rPr>
        <w:t>CHST6</w:t>
      </w:r>
      <w:r>
        <w:rPr>
          <w:rFonts w:ascii="Arial" w:hAnsi="Arial" w:cs="Arial"/>
          <w:bCs/>
        </w:rPr>
        <w:t xml:space="preserve"> mutations in human corneal endothelial cells and keratocytes, telomerase immortalized human corneal endothelial cells (HCEnC) and keratocytes (HK) were transfected with </w:t>
      </w:r>
      <w:r>
        <w:rPr>
          <w:rFonts w:ascii="Arial" w:hAnsi="Arial" w:cs="Arial"/>
          <w:bCs/>
          <w:iCs/>
        </w:rPr>
        <w:t xml:space="preserve">wild-type and/or </w:t>
      </w:r>
      <w:r>
        <w:rPr>
          <w:rFonts w:ascii="Arial" w:hAnsi="Arial" w:cs="Arial"/>
          <w:bCs/>
        </w:rPr>
        <w:t xml:space="preserve">mutant </w:t>
      </w:r>
      <w:r>
        <w:rPr>
          <w:rFonts w:ascii="Arial" w:hAnsi="Arial" w:cs="Arial"/>
          <w:bCs/>
          <w:iCs/>
        </w:rPr>
        <w:t>CHST6 promoter-containing expressing vectors (</w:t>
      </w:r>
      <w:r>
        <w:rPr>
          <w:rFonts w:ascii="Arial" w:hAnsi="Arial" w:cs="Arial"/>
          <w:bCs/>
        </w:rPr>
        <w:t>CGn6STwPro) using Lipofectamine® LTX with PLUS reagent (A12621, Life Technologies) according to the manufacturer’s recommendations (Supplemental Materials, Human corneal endothelial cell line cell culture,</w:t>
      </w:r>
      <w:r w:rsidRPr="0025612C">
        <w:t xml:space="preserve"> </w:t>
      </w:r>
      <w:r>
        <w:rPr>
          <w:rFonts w:ascii="Arial" w:hAnsi="Arial" w:cs="Arial"/>
          <w:bCs/>
        </w:rPr>
        <w:t>Human corneal keratocyte cell culture).</w:t>
      </w:r>
      <w:hyperlink w:anchor="bib10" w:history="1">
        <w:r>
          <w:rPr>
            <w:rStyle w:val="Hyperlink"/>
            <w:rFonts w:ascii="Arial" w:hAnsi="Arial" w:cs="Arial"/>
            <w:bCs/>
            <w:noProof/>
            <w:vertAlign w:val="superscript"/>
          </w:rPr>
          <w:t>10</w:t>
        </w:r>
      </w:hyperlink>
      <w:r w:rsidRPr="0025612C">
        <w:rPr>
          <w:rFonts w:ascii="Arial" w:hAnsi="Arial" w:cs="Arial"/>
          <w:bCs/>
          <w:vertAlign w:val="superscript"/>
        </w:rPr>
        <w:t>,</w:t>
      </w:r>
      <w:hyperlink w:anchor="bib11" w:history="1">
        <w:r>
          <w:rPr>
            <w:rStyle w:val="Hyperlink"/>
            <w:rFonts w:ascii="Arial" w:hAnsi="Arial" w:cs="Arial"/>
            <w:bCs/>
            <w:noProof/>
            <w:vertAlign w:val="superscript"/>
          </w:rPr>
          <w:t>11</w:t>
        </w:r>
      </w:hyperlink>
      <w:r>
        <w:rPr>
          <w:rFonts w:ascii="Arial" w:hAnsi="Arial" w:cs="Arial"/>
          <w:bCs/>
        </w:rPr>
        <w:t xml:space="preserve"> To enhance the detection of sulfated KS, HCEnC or HK (seeded in 24-well plates at 50% confluency 24 hours prior) were co-transfected with expression vectors b3GnT7 (250 ng/well) and HKSG6ST (250 ng/well), two enzymes involved in the extension of KS and C-6 sulfation of Gal residue in KS, along with CGn6STwPro wild-type and/or mutant (250 ng/well). To simulate compound heterozygous </w:t>
      </w:r>
      <w:r>
        <w:rPr>
          <w:rFonts w:ascii="Arial" w:hAnsi="Arial" w:cs="Arial"/>
          <w:bCs/>
          <w:i/>
          <w:iCs/>
        </w:rPr>
        <w:t>CHST6</w:t>
      </w:r>
      <w:r>
        <w:rPr>
          <w:rFonts w:ascii="Arial" w:hAnsi="Arial" w:cs="Arial"/>
          <w:bCs/>
        </w:rPr>
        <w:t xml:space="preserve"> mutations identified in some affected individuals, an equal amount of two CGn6STwPro mutant constructs (125 ng/well) were used. A total of 750 ng of plasmid DNA was used per well.</w:t>
      </w:r>
    </w:p>
    <w:p w14:paraId="58BB1DAB" w14:textId="42ABFD32" w:rsidR="00FE50C9" w:rsidRPr="0025612C" w:rsidRDefault="0025612C" w:rsidP="0025612C">
      <w:pPr>
        <w:pStyle w:val="Para"/>
      </w:pPr>
      <w:r>
        <w:rPr>
          <w:rFonts w:ascii="Arial" w:hAnsi="Arial" w:cs="Arial"/>
          <w:bCs/>
          <w:iCs/>
        </w:rPr>
        <w:t xml:space="preserve">The following combination of CGn6STwPro constructs were used to mimic the </w:t>
      </w:r>
      <w:r>
        <w:rPr>
          <w:rFonts w:ascii="Arial" w:hAnsi="Arial" w:cs="Arial"/>
          <w:bCs/>
          <w:i/>
        </w:rPr>
        <w:t>CHST6</w:t>
      </w:r>
      <w:r>
        <w:rPr>
          <w:rFonts w:ascii="Arial" w:hAnsi="Arial" w:cs="Arial"/>
          <w:bCs/>
          <w:iCs/>
        </w:rPr>
        <w:t xml:space="preserve"> mutation status observed in individuals reported here: 1) WT/WT, representing the healthy control without </w:t>
      </w:r>
      <w:r>
        <w:rPr>
          <w:rFonts w:ascii="Arial" w:hAnsi="Arial" w:cs="Arial"/>
          <w:bCs/>
          <w:i/>
          <w:iCs/>
        </w:rPr>
        <w:t>CHST6</w:t>
      </w:r>
      <w:r>
        <w:rPr>
          <w:rFonts w:ascii="Arial" w:hAnsi="Arial" w:cs="Arial"/>
          <w:bCs/>
          <w:iCs/>
        </w:rPr>
        <w:t xml:space="preserve"> mutations; 2) PT/PT, representing affected individuals with homozygous variant c.[-668C&gt;T; -690G&gt;C; -792C&gt;T] in Families B, E, and G; 3) PT/P280L, mimicking the proband of Family A with compound heterozygous variants c.[-668C&gt;T; -690G&gt;C; -792C&gt;T] and the previously unreported P280L; 4) PT/Y268C, mimicking the affected individuals in Family C with compound heterozygous variants c.[-668C&gt;T; -690G&gt;C; -792C&gt;T] and Y268C; 5) WT/PT, mimicking the affected mother of the proband (I-2) in Family A with heterozygous variant c.[-668C&gt;T; -690G&gt;C; -792C&gt;T]; 6) c.-690G&gt;C/c.-690G&gt;C (</w:t>
      </w:r>
      <w:r>
        <w:rPr>
          <w:rFonts w:ascii="Arial" w:hAnsi="Arial" w:cs="Arial"/>
          <w:bCs/>
        </w:rPr>
        <w:t>CGn6STwPro_c.-690G&gt;C)</w:t>
      </w:r>
      <w:r>
        <w:rPr>
          <w:rFonts w:ascii="Arial" w:hAnsi="Arial" w:cs="Arial"/>
          <w:bCs/>
          <w:iCs/>
        </w:rPr>
        <w:t>, assessing the impact of isolated homozygous variant c.-690G&gt;C without two adjacent variants c.-668C&gt;T and c.-792C&gt;T; 7) c.-690G&gt;C/P280L, assessing the impact of compound heterozygous variants c.-690G&gt;C and P280L; 8) c.-690G&gt;C/Y268C, assessing the impact of compound heterozygous variants c.-690G&gt;C and Y268C; 9) P280L/P280L (</w:t>
      </w:r>
      <w:r>
        <w:rPr>
          <w:rFonts w:ascii="Arial" w:hAnsi="Arial" w:cs="Arial"/>
          <w:bCs/>
        </w:rPr>
        <w:t>CGn6STwPro_P280L)</w:t>
      </w:r>
      <w:r>
        <w:rPr>
          <w:rFonts w:ascii="Arial" w:hAnsi="Arial" w:cs="Arial"/>
          <w:bCs/>
          <w:iCs/>
        </w:rPr>
        <w:t>, assessing the impact of homozygous variant P280L; and 10) Y268C/Y268C (</w:t>
      </w:r>
      <w:r>
        <w:rPr>
          <w:rFonts w:ascii="Arial" w:hAnsi="Arial" w:cs="Arial"/>
          <w:bCs/>
        </w:rPr>
        <w:t>CGn6STwPro_Y268C)</w:t>
      </w:r>
      <w:r>
        <w:rPr>
          <w:rFonts w:ascii="Arial" w:hAnsi="Arial" w:cs="Arial"/>
          <w:bCs/>
          <w:iCs/>
        </w:rPr>
        <w:t>, assessing the impact of homozygous variant Y268C on CGn6ST/CHST6 enzymatic function.</w:t>
      </w:r>
    </w:p>
    <w:p w14:paraId="3F39E04A" w14:textId="56650490" w:rsidR="00FE50C9" w:rsidRPr="0025612C" w:rsidRDefault="0025612C" w:rsidP="0025612C">
      <w:pPr>
        <w:pStyle w:val="Para"/>
      </w:pPr>
      <w:r>
        <w:rPr>
          <w:rFonts w:ascii="Arial" w:hAnsi="Arial" w:cs="Arial"/>
          <w:bCs/>
        </w:rPr>
        <w:t>The enzymatic activities of CGn6ST, together with b3GnT7 and HKSG6ST, result in highly sulfated KS, which can be detected by the 5D4 antibody (MABN2483, Millipore Sigma). Forty-eight hours post-transfection, cells were lysed with radioimmunoprecipitation assay (RIPA) buffer containing proteinase and phosphatase inhibitors. Total protein was quantified using the bicinchoninic acid (BCA) assay, separated and detected using a capillary-based Western Blot system</w:t>
      </w:r>
      <w:r w:rsidRPr="0025612C" w:rsidDel="00BC360D">
        <w:rPr>
          <w:rFonts w:ascii="Arial" w:hAnsi="Arial" w:cs="Arial"/>
          <w:bCs/>
        </w:rPr>
        <w:t xml:space="preserve"> </w:t>
      </w:r>
      <w:r>
        <w:rPr>
          <w:rFonts w:ascii="Arial" w:hAnsi="Arial" w:cs="Arial"/>
          <w:bCs/>
        </w:rPr>
        <w:t>(Simple Western assay Wes, ProteinSimple). Highly sulfated KS, b3GnT7 protein and GAPDH were detected using 5D4, anti-B3GNT7 (NBP1-69637, Novus Biological) and anti-GAPDH (MAB374, Millipore Sigma) antibodies, respectively. Quantification and data analysis were performed using the Compass for Simple Western software (ProteinSimple). The level of 5D4-positive sulfated KS was normalized to GAPDH as the loading control and then to B3GNT7 as an internal control for transfection efficiency in each sample. Four biological replicates of transfection and Western Blot were performed, and the average 5D4+ KS level was calculated for each CHST6 mutant or combination of mutants.</w:t>
      </w:r>
    </w:p>
    <w:p w14:paraId="67C35D1E" w14:textId="26B20ED8" w:rsidR="009D6375" w:rsidRPr="0025612C" w:rsidRDefault="0025612C" w:rsidP="0025612C">
      <w:pPr>
        <w:pStyle w:val="Head2"/>
      </w:pPr>
      <w:r>
        <w:rPr>
          <w:rFonts w:ascii="Arial" w:hAnsi="Arial" w:cs="Arial"/>
          <w:bCs/>
          <w:iCs/>
        </w:rPr>
        <w:t>Histology and Immunofluorescence Staining</w:t>
      </w:r>
    </w:p>
    <w:p w14:paraId="5621C378" w14:textId="71483E54" w:rsidR="009D6375" w:rsidRPr="0025612C" w:rsidRDefault="0025612C" w:rsidP="0025612C">
      <w:pPr>
        <w:pStyle w:val="Para"/>
      </w:pPr>
      <w:r>
        <w:rPr>
          <w:rFonts w:ascii="Arial" w:hAnsi="Arial" w:cs="Arial"/>
          <w:bCs/>
        </w:rPr>
        <w:t>Five-micrometer sections of paraffin-embedded corneas from seven healthy donors, surgical DM specimens from three probands from families A, C, and F, and a surgical DM specimen from an individual with pseudophakic corneal edema (PCE) were deparaffinized and rehydrated in a graded ethanol series (100%, 95%, 70% and 50%).</w:t>
      </w:r>
    </w:p>
    <w:p w14:paraId="3EE21699" w14:textId="57586688" w:rsidR="009D6375" w:rsidRPr="0025612C" w:rsidRDefault="0025612C" w:rsidP="0025612C">
      <w:pPr>
        <w:pStyle w:val="Para"/>
      </w:pPr>
      <w:r>
        <w:rPr>
          <w:rFonts w:ascii="Arial" w:hAnsi="Arial" w:cs="Arial"/>
          <w:bCs/>
        </w:rPr>
        <w:t>H&amp;E staining of specimens was performed following a standardized protocol (Translational Pathology Core Laboratory, Department of Pathology, UCLA). 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or high iron diamine stained sections were imaged with a KEYENCE BZ-X700 all-in-one fluorescence microscope.</w:t>
      </w:r>
    </w:p>
    <w:p w14:paraId="6B1BB7AE" w14:textId="465861DE" w:rsidR="00D34B58" w:rsidRPr="0025612C" w:rsidRDefault="0025612C" w:rsidP="0025612C">
      <w:pPr>
        <w:pStyle w:val="Para"/>
      </w:pPr>
      <w:r>
        <w:rPr>
          <w:rFonts w:ascii="Arial" w:hAnsi="Arial" w:cs="Arial"/>
          <w:bCs/>
        </w:rPr>
        <w:t xml:space="preserve">For 5D4 staining, the rehydrated sections underwent antigen retrieval in 10 mM sodium citrate, followed by a standard immunofluorescence staining protocol with the 5D4 antibody overnight at 4°C and Alexa 568 anti-mouse secondary antibody with DAPI. For Lectin-FITC staining, the rehydrated sections underwent antigen retrieval in a citrate-based antigen unmasking solution (Vector Labs, #H-3300) for 25 minutes, followed by a standard immunofluorescence staining protocol with Lectin-FITC conjugated antibody </w:t>
      </w:r>
      <w:r>
        <w:rPr>
          <w:rFonts w:ascii="Arial" w:hAnsi="Arial" w:cs="Arial"/>
        </w:rPr>
        <w:t>(Vector Laboratories, #FL-1171). 5D4 and Lectin-FITC stained sections were imaged with an inverted confocal fluorescence microscope (Olympus FV-1000, Olympus Corporation).</w:t>
      </w:r>
    </w:p>
    <w:p w14:paraId="2FE1461E" w14:textId="41DCA3B2" w:rsidR="006664E1" w:rsidRPr="0025612C" w:rsidRDefault="0025612C" w:rsidP="0025612C">
      <w:pPr>
        <w:pStyle w:val="Head2"/>
      </w:pPr>
      <w:r>
        <w:rPr>
          <w:rFonts w:ascii="Arial" w:hAnsi="Arial" w:cs="Arial"/>
          <w:bCs/>
          <w:iCs/>
        </w:rPr>
        <w:t>Sulfated Glycosaminoglycan Measurement in Serum and/or Dried Blood Spots</w:t>
      </w:r>
    </w:p>
    <w:p w14:paraId="7F6E1953" w14:textId="48B7E5D7" w:rsidR="00FE50C9" w:rsidRPr="0025612C" w:rsidRDefault="0025612C" w:rsidP="0025612C">
      <w:pPr>
        <w:pStyle w:val="Para"/>
      </w:pPr>
      <w:r>
        <w:rPr>
          <w:rFonts w:ascii="Arial" w:hAnsi="Arial" w:cs="Arial"/>
          <w:bCs/>
        </w:rPr>
        <w:t>The sulfation levels of serum GAG, including dermatan sulfate (DS), heparan sulfate (HS),</w:t>
      </w:r>
      <w:r w:rsidRPr="0025612C">
        <w:rPr>
          <w:rFonts w:ascii="Arial" w:hAnsi="Arial" w:cs="Arial"/>
        </w:rPr>
        <w:t xml:space="preserve"> </w:t>
      </w:r>
      <w:r>
        <w:rPr>
          <w:rFonts w:ascii="Arial" w:hAnsi="Arial" w:cs="Arial"/>
          <w:bCs/>
        </w:rPr>
        <w:t>and KS, were measured by liquid chromatography with tandem mass spectrometry (LC-MS/MS) as previously described and the results were compared with age-matched controls.</w:t>
      </w:r>
      <w:hyperlink w:anchor="bib12" w:history="1">
        <w:r>
          <w:rPr>
            <w:rStyle w:val="Hyperlink"/>
            <w:rFonts w:ascii="Arial" w:hAnsi="Arial" w:cs="Arial"/>
            <w:bCs/>
            <w:noProof/>
            <w:vertAlign w:val="superscript"/>
          </w:rPr>
          <w:t>12</w:t>
        </w:r>
      </w:hyperlink>
      <w:r w:rsidRPr="0025612C">
        <w:rPr>
          <w:rFonts w:ascii="Arial" w:hAnsi="Arial" w:cs="Arial"/>
          <w:bCs/>
          <w:noProof/>
          <w:vertAlign w:val="superscript"/>
        </w:rPr>
        <w:t>,</w:t>
      </w:r>
      <w:hyperlink w:anchor="bib13" w:history="1">
        <w:r>
          <w:rPr>
            <w:rStyle w:val="Hyperlink"/>
            <w:rFonts w:ascii="Arial" w:hAnsi="Arial" w:cs="Arial"/>
            <w:bCs/>
            <w:noProof/>
            <w:vertAlign w:val="superscript"/>
          </w:rPr>
          <w:t>13</w:t>
        </w:r>
      </w:hyperlink>
      <w:r>
        <w:rPr>
          <w:rFonts w:ascii="Arial" w:hAnsi="Arial" w:cs="Arial"/>
          <w:bCs/>
        </w:rPr>
        <w:t xml:space="preserve"> Serum samples were collected from 17 individuals and dried blot spots (DBS) were collected from 10 individuals from the seven families (</w:t>
      </w:r>
      <w:hyperlink w:anchor="fig1" w:history="1">
        <w:r>
          <w:rPr>
            <w:rStyle w:val="Hyperlink"/>
            <w:rFonts w:ascii="Arial" w:hAnsi="Arial" w:cs="Arial"/>
            <w:bCs/>
          </w:rPr>
          <w:t>Fig. 1</w:t>
        </w:r>
      </w:hyperlink>
      <w:r>
        <w:rPr>
          <w:rFonts w:ascii="Arial" w:hAnsi="Arial" w:cs="Arial"/>
          <w:bCs/>
        </w:rPr>
        <w:t>).</w:t>
      </w:r>
    </w:p>
    <w:p w14:paraId="02EDAB00" w14:textId="339F2C4C" w:rsidR="007D3B07" w:rsidRPr="0025612C" w:rsidRDefault="0025612C" w:rsidP="0025612C">
      <w:pPr>
        <w:pStyle w:val="Head2"/>
      </w:pPr>
      <w:r>
        <w:rPr>
          <w:rFonts w:ascii="Arial" w:hAnsi="Arial" w:cs="Arial"/>
          <w:bCs/>
          <w:iCs/>
        </w:rPr>
        <w:t>Calculation of Odds of Pathogenicity (Odds Path) for Identified Variants</w:t>
      </w:r>
    </w:p>
    <w:p w14:paraId="352419B9" w14:textId="56302C75" w:rsidR="00FE50C9" w:rsidRPr="00480E93" w:rsidRDefault="0025612C" w:rsidP="0025612C">
      <w:pPr>
        <w:pStyle w:val="Para"/>
      </w:pPr>
      <w:r>
        <w:rPr>
          <w:rFonts w:ascii="Arial" w:hAnsi="Arial" w:cs="Arial"/>
          <w:bCs/>
          <w:iCs/>
        </w:rPr>
        <w:t xml:space="preserve">The number of criteria met for each identified </w:t>
      </w:r>
      <w:r>
        <w:rPr>
          <w:rFonts w:ascii="Arial" w:hAnsi="Arial" w:cs="Arial"/>
          <w:bCs/>
          <w:i/>
        </w:rPr>
        <w:t>CHST6</w:t>
      </w:r>
      <w:r>
        <w:rPr>
          <w:rFonts w:ascii="Arial" w:hAnsi="Arial" w:cs="Arial"/>
          <w:bCs/>
          <w:iCs/>
        </w:rPr>
        <w:t xml:space="preserve"> variant was counted as N for each criterion subtype, including benign supporting (BP1–6), benign strong (BS1–4), benign stand-alone (BA1), pathogenic supporting (PP1–5), pathogenic moderate (PM1–6), pathogenic strong (PS1–4), or very strong (PVS1). The odds of pathogenicity (</w:t>
      </w:r>
      <w:r>
        <w:rPr>
          <w:rFonts w:ascii="Arial" w:hAnsi="Arial" w:cs="Arial"/>
          <w:bCs/>
          <w:i/>
          <w:iCs/>
        </w:rPr>
        <w:t>OddsPath</w:t>
      </w:r>
      <w:r>
        <w:rPr>
          <w:rFonts w:ascii="Arial" w:hAnsi="Arial" w:cs="Arial"/>
          <w:bCs/>
          <w:iCs/>
        </w:rPr>
        <w:t xml:space="preserve">) of each variant was 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Pr="0025612C">
        <w:rPr>
          <w:rFonts w:ascii="Arial" w:hAnsi="Arial" w:cs="Arial"/>
          <w:bCs/>
          <w:iCs/>
        </w:rPr>
        <w:t>.</w:t>
      </w:r>
      <w:hyperlink w:anchor="bib14" w:history="1">
        <w:r>
          <w:rPr>
            <w:rStyle w:val="Hyperlink"/>
            <w:rFonts w:ascii="Arial" w:hAnsi="Arial" w:cs="Arial"/>
            <w:bCs/>
            <w:iCs/>
            <w:noProof/>
            <w:vertAlign w:val="superscript"/>
          </w:rPr>
          <w:t>14</w:t>
        </w:r>
      </w:hyperlink>
      <w:r>
        <w:rPr>
          <w:rFonts w:ascii="Arial" w:hAnsi="Arial" w:cs="Arial"/>
          <w:bCs/>
          <w:iCs/>
        </w:rPr>
        <w:t xml:space="preserve"> The Bayesian posterior probability was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Pr>
          <w:rFonts w:ascii="Arial" w:hAnsi="Arial" w:cs="Arial"/>
          <w:bCs/>
          <w:iCs/>
        </w:rPr>
        <w:t>, in which prior probability (</w:t>
      </w:r>
      <w:r>
        <w:rPr>
          <w:rFonts w:ascii="Arial" w:hAnsi="Arial" w:cs="Arial"/>
          <w:bCs/>
          <w:i/>
          <w:iCs/>
        </w:rPr>
        <w:t>Prior_P</w:t>
      </w:r>
      <w:r>
        <w:rPr>
          <w:rFonts w:ascii="Arial" w:hAnsi="Arial" w:cs="Arial"/>
          <w:bCs/>
          <w:iCs/>
        </w:rPr>
        <w:t xml:space="preserve">) by default is 0.1. </w:t>
      </w:r>
      <w:r>
        <w:rPr>
          <w:rFonts w:ascii="Arial" w:hAnsi="Arial" w:cs="Arial"/>
          <w:bCs/>
          <w:i/>
        </w:rPr>
        <w:t>Post_P</w:t>
      </w:r>
      <w:r>
        <w:rPr>
          <w:rFonts w:ascii="Arial" w:hAnsi="Arial" w:cs="Arial"/>
          <w:bCs/>
          <w:iCs/>
        </w:rPr>
        <w:t xml:space="preserve"> was then assigned a variant classification as follows: benign &lt; 0.001; 0.001 ≤ likely benign &lt; 0.1; 0.1 ≤ Variant of Uncertain Significance (VUS) &lt; 0.90; 0.90 ≤ likely pathogenic &lt; 0.99; 0.99 ≤ pathogenic.</w:t>
      </w:r>
      <w:hyperlink w:anchor="bib15" w:history="1">
        <w:r>
          <w:rPr>
            <w:rStyle w:val="Hyperlink"/>
            <w:rFonts w:ascii="Arial" w:hAnsi="Arial" w:cs="Arial"/>
            <w:bCs/>
            <w:iCs/>
            <w:noProof/>
            <w:vertAlign w:val="superscript"/>
          </w:rPr>
          <w:t>15</w:t>
        </w:r>
      </w:hyperlink>
      <w:r w:rsidRPr="0025612C">
        <w:rPr>
          <w:rFonts w:ascii="Arial" w:hAnsi="Arial" w:cs="Arial"/>
          <w:bCs/>
          <w:iCs/>
        </w:rPr>
        <w:t xml:space="preserve"> </w:t>
      </w:r>
      <w:r>
        <w:rPr>
          <w:rFonts w:ascii="Arial" w:eastAsiaTheme="minorEastAsia" w:hAnsi="Arial" w:cs="Arial"/>
          <w:iCs/>
        </w:rPr>
        <w:t>OddsPath cut-off scores for Supporting, Moderate, Strong, and Very Strong pathogenic evidence were obtained from published guidelines.</w:t>
      </w:r>
      <w:hyperlink w:anchor="bib16" w:history="1">
        <w:r>
          <w:rPr>
            <w:rStyle w:val="Hyperlink"/>
            <w:rFonts w:ascii="Arial" w:eastAsiaTheme="minorEastAsia" w:hAnsi="Arial" w:cs="Arial"/>
            <w:iCs/>
            <w:noProof/>
            <w:vertAlign w:val="superscript"/>
          </w:rPr>
          <w:t>16</w:t>
        </w:r>
      </w:hyperlink>
    </w:p>
    <w:p w14:paraId="1406A090" w14:textId="46472A42" w:rsidR="004C52FA" w:rsidRPr="0025612C" w:rsidRDefault="0025612C" w:rsidP="0025612C">
      <w:pPr>
        <w:pStyle w:val="Head1"/>
      </w:pPr>
      <w:r>
        <w:rPr>
          <w:rFonts w:ascii="Arial" w:hAnsi="Arial" w:cs="Arial"/>
        </w:rPr>
        <w:t>RESULTS</w:t>
      </w:r>
    </w:p>
    <w:p w14:paraId="0965AE9A" w14:textId="742A3159" w:rsidR="004C52FA" w:rsidRPr="0025612C" w:rsidRDefault="0025612C" w:rsidP="0025612C">
      <w:pPr>
        <w:pStyle w:val="Head2"/>
      </w:pPr>
      <w:r>
        <w:rPr>
          <w:rFonts w:ascii="Arial" w:hAnsi="Arial" w:cs="Arial"/>
        </w:rPr>
        <w:t>Clinical Features</w:t>
      </w:r>
    </w:p>
    <w:p w14:paraId="71CA2F83" w14:textId="4C6548D8" w:rsidR="003C4450" w:rsidRPr="0025612C" w:rsidRDefault="0025612C" w:rsidP="0025612C">
      <w:pPr>
        <w:pStyle w:val="Head3"/>
      </w:pPr>
      <w:r>
        <w:rPr>
          <w:rFonts w:ascii="Arial" w:hAnsi="Arial" w:cs="Arial"/>
          <w:bCs/>
          <w:iCs/>
        </w:rPr>
        <w:t>Family A</w:t>
      </w:r>
    </w:p>
    <w:p w14:paraId="15E9F25B" w14:textId="155E6F09" w:rsidR="00677188" w:rsidRPr="0025612C" w:rsidRDefault="0025612C" w:rsidP="0025612C">
      <w:pPr>
        <w:pStyle w:val="Para"/>
      </w:pPr>
      <w:r>
        <w:rPr>
          <w:rFonts w:ascii="Arial" w:hAnsi="Arial" w:cs="Arial"/>
          <w:bCs/>
        </w:rPr>
        <w:t>A 47-year-old Thai woman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II-2) with an unremarkable past medical history presented with progressive decrease in vision in both eyes. Corrected visual acuities (CVA) measured 20/40 OD and 20/50 OS. Slit lamp biomicroscopy and AS-OCT revealed inferior paracentral corneal subepithelial fibrosis, underlying stromal edema and multiple discrete gray peripheral opacities at the level of DM, predominantly located in the superior and inferior peripheral cornea (</w:t>
      </w:r>
      <w:hyperlink w:anchor="fig2" w:history="1">
        <w:r>
          <w:rPr>
            <w:rStyle w:val="Hyperlink"/>
            <w:rFonts w:ascii="Arial" w:hAnsi="Arial" w:cs="Arial"/>
            <w:bCs/>
          </w:rPr>
          <w:t>Fig. 2</w:t>
        </w:r>
      </w:hyperlink>
      <w:r w:rsidRPr="00480E93">
        <w:rPr>
          <w:rFonts w:ascii="Arial" w:hAnsi="Arial" w:cs="Arial"/>
          <w:bCs/>
        </w:rPr>
        <w:t>A</w:t>
      </w:r>
      <w:r>
        <w:rPr>
          <w:rFonts w:ascii="Arial" w:hAnsi="Arial" w:cs="Arial"/>
          <w:bCs/>
        </w:rPr>
        <w:t>, Supplemental Fig. 1A). Central corneal pachymetry measured 626 µm OD and 604 µm OS. A combined Descemet membrane endothelial keratoplasty (DMEK), cataract extraction was performed in each eye with restoration of stromal clarity other than for residual inferior paracentral subepithelial scarring (</w:t>
      </w:r>
      <w:hyperlink w:anchor="fig2" w:history="1">
        <w:r>
          <w:rPr>
            <w:rStyle w:val="Hyperlink"/>
            <w:rFonts w:ascii="Arial" w:hAnsi="Arial" w:cs="Arial"/>
            <w:bCs/>
          </w:rPr>
          <w:t>Fig. 2</w:t>
        </w:r>
      </w:hyperlink>
      <w:r w:rsidRPr="00480E93">
        <w:rPr>
          <w:rFonts w:ascii="Arial" w:hAnsi="Arial" w:cs="Arial"/>
          <w:bCs/>
        </w:rPr>
        <w:t>B</w:t>
      </w:r>
      <w:r>
        <w:rPr>
          <w:rFonts w:ascii="Arial" w:hAnsi="Arial" w:cs="Arial"/>
          <w:bCs/>
        </w:rPr>
        <w:t>). Slit lamp examination of other family members revealed similar appearing discrete gray opacities only in the proband’s 73-year-old mother, whose CVA measured 20/70 OU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I-2). As the opacities in proband’s mother were confined to the inferior peripheral cornea in each eye, were significantly fewer in number, and were not associated with corneal edema (</w:t>
      </w:r>
      <w:hyperlink w:anchor="fig2" w:history="1">
        <w:r>
          <w:rPr>
            <w:rStyle w:val="Hyperlink"/>
            <w:rFonts w:ascii="Arial" w:hAnsi="Arial" w:cs="Arial"/>
            <w:bCs/>
          </w:rPr>
          <w:t>Fig. 2</w:t>
        </w:r>
      </w:hyperlink>
      <w:r w:rsidRPr="00480E93">
        <w:rPr>
          <w:rFonts w:ascii="Arial" w:hAnsi="Arial" w:cs="Arial"/>
          <w:bCs/>
        </w:rPr>
        <w:t>C</w:t>
      </w:r>
      <w:r>
        <w:rPr>
          <w:rFonts w:ascii="Arial" w:hAnsi="Arial" w:cs="Arial"/>
          <w:bCs/>
        </w:rPr>
        <w:t>), her decreased corrected visual acuity was attributed to bilateral severe nuclear sclerosis. The other examined family members, including the proband’s father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I-1), older sister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II-1), and daughter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III-1), demonstrated clear corneas.</w:t>
      </w:r>
    </w:p>
    <w:p w14:paraId="6203B9EB" w14:textId="6D662F58" w:rsidR="003C4450" w:rsidRPr="0025612C" w:rsidRDefault="0025612C" w:rsidP="0025612C">
      <w:pPr>
        <w:pStyle w:val="Head3"/>
      </w:pPr>
      <w:r>
        <w:rPr>
          <w:rFonts w:ascii="Arial" w:hAnsi="Arial" w:cs="Arial"/>
          <w:bCs/>
          <w:iCs/>
        </w:rPr>
        <w:t>Family B</w:t>
      </w:r>
    </w:p>
    <w:p w14:paraId="03C4190C" w14:textId="7B352576" w:rsidR="00FE50C9" w:rsidRPr="0025612C" w:rsidRDefault="0025612C" w:rsidP="0025612C">
      <w:pPr>
        <w:pStyle w:val="Para"/>
      </w:pPr>
      <w:r>
        <w:rPr>
          <w:rFonts w:ascii="Arial" w:hAnsi="Arial" w:cs="Arial"/>
          <w:bCs/>
        </w:rPr>
        <w:t>A 49-year-old Vietnamese woman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B. II-1) with an unremarkable past medical history presented with glare, halo, and foreign body sensation in both eyes (OD &gt; OS) that was worse in the morning. Slit lamp biomicroscopy revealed mild diffuse corneal stromal edema OD and trace stromal edema OS with multiple discrete grayish peripheral opacities at the level of DM in both eyes (</w:t>
      </w:r>
      <w:hyperlink w:anchor="fig2" w:history="1">
        <w:r>
          <w:rPr>
            <w:rStyle w:val="Hyperlink"/>
            <w:rFonts w:ascii="Arial" w:hAnsi="Arial" w:cs="Arial"/>
            <w:bCs/>
          </w:rPr>
          <w:t>Fig. 2</w:t>
        </w:r>
      </w:hyperlink>
      <w:r w:rsidRPr="00480E93">
        <w:rPr>
          <w:rFonts w:ascii="Arial" w:hAnsi="Arial" w:cs="Arial"/>
          <w:bCs/>
        </w:rPr>
        <w:t>D</w:t>
      </w:r>
      <w:r>
        <w:rPr>
          <w:rFonts w:ascii="Arial" w:hAnsi="Arial" w:cs="Arial"/>
          <w:bCs/>
        </w:rPr>
        <w:t>). The patient complained of progressive loss of vision thereafter for 6 months as CVA declined from 20/100 to counting finger (CF) at 2 meters OD and from 20/20 to 20/25 OS. Slit lamp biomicroscopy revealed temporal microcystic epithelial and stromal edema extending to the central cornea in both eyes (</w:t>
      </w:r>
      <w:hyperlink w:anchor="fig2" w:history="1">
        <w:r>
          <w:rPr>
            <w:rStyle w:val="Hyperlink"/>
            <w:rFonts w:ascii="Arial" w:hAnsi="Arial" w:cs="Arial"/>
            <w:bCs/>
          </w:rPr>
          <w:t>Fig. 2</w:t>
        </w:r>
      </w:hyperlink>
      <w:r w:rsidRPr="00480E93">
        <w:rPr>
          <w:rFonts w:ascii="Arial" w:hAnsi="Arial" w:cs="Arial"/>
          <w:bCs/>
        </w:rPr>
        <w:t>E</w:t>
      </w:r>
      <w:r>
        <w:rPr>
          <w:rFonts w:ascii="Arial" w:hAnsi="Arial" w:cs="Arial"/>
          <w:bCs/>
        </w:rPr>
        <w:t>). Central corneal pachymetry measured by UBM was 620 µm OU. A combined Descemet stripping automated endothelial keratoplasty (DSAEK), cataract extraction was performed in the right eye, and the central cornea remained clear 2 years (</w:t>
      </w:r>
      <w:hyperlink w:anchor="fig2" w:history="1">
        <w:r>
          <w:rPr>
            <w:rStyle w:val="Hyperlink"/>
            <w:rFonts w:ascii="Arial" w:hAnsi="Arial" w:cs="Arial"/>
            <w:bCs/>
          </w:rPr>
          <w:t>Fig. 2</w:t>
        </w:r>
      </w:hyperlink>
      <w:r w:rsidRPr="00480E93">
        <w:rPr>
          <w:rFonts w:ascii="Arial" w:hAnsi="Arial" w:cs="Arial"/>
          <w:bCs/>
        </w:rPr>
        <w:t>F</w:t>
      </w:r>
      <w:r>
        <w:rPr>
          <w:rFonts w:ascii="Arial" w:hAnsi="Arial" w:cs="Arial"/>
          <w:bCs/>
        </w:rPr>
        <w:t>) and 4 years later with CVA of 20/25 and 20/30, respectively. The unoperated left eye developed progressive subepithelial scarring and stromal edema with CVA decreasing to CF at 3 meters.</w:t>
      </w:r>
    </w:p>
    <w:p w14:paraId="076D3E1A" w14:textId="4937AC6A" w:rsidR="000A29A2" w:rsidRPr="0025612C" w:rsidRDefault="0025612C" w:rsidP="0025612C">
      <w:pPr>
        <w:pStyle w:val="Para"/>
      </w:pPr>
      <w:r>
        <w:rPr>
          <w:rFonts w:ascii="Arial" w:hAnsi="Arial" w:cs="Arial"/>
          <w:bCs/>
        </w:rPr>
        <w:t>The parents of the proband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B. I-1 and B. I-2), who are first cousins, were not available for examination. The proband’s younger brother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B. II-2), who was diagnosed with Fuchs endothelial corneal dystrophy and progressive moderate glaucoma, underwent two DSAEK procedures and tube shunt placement twice in the left eye. Postoperative CVA in the left eye was limited to hand motion due to glaucomatous optic neuropathy. In the unoperated right eye, CVA measured 20/30. Trace peripheral corneal stromal edema and a few peripheral grey macular deposits at the level of DM were observed (</w:t>
      </w:r>
      <w:hyperlink w:anchor="fig2" w:history="1">
        <w:r>
          <w:rPr>
            <w:rStyle w:val="Hyperlink"/>
            <w:rFonts w:ascii="Arial" w:hAnsi="Arial" w:cs="Arial"/>
            <w:bCs/>
          </w:rPr>
          <w:t>Fig. 2</w:t>
        </w:r>
      </w:hyperlink>
      <w:r w:rsidRPr="00480E93">
        <w:rPr>
          <w:rFonts w:ascii="Arial" w:hAnsi="Arial" w:cs="Arial"/>
          <w:bCs/>
        </w:rPr>
        <w:t>G</w:t>
      </w:r>
      <w:r>
        <w:rPr>
          <w:rFonts w:ascii="Arial" w:hAnsi="Arial" w:cs="Arial"/>
          <w:bCs/>
        </w:rPr>
        <w:t>), with central and peripheral corneal pachymetry measuring 570 µm and 830-970 µm, respectively. Examination of the proband’s son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B. III-1) revealed a clear cornea in each eye.</w:t>
      </w:r>
    </w:p>
    <w:p w14:paraId="73A02ABF" w14:textId="4C596CA2" w:rsidR="003C4450" w:rsidRPr="0025612C" w:rsidRDefault="0025612C" w:rsidP="0025612C">
      <w:pPr>
        <w:pStyle w:val="Head3"/>
      </w:pPr>
      <w:r>
        <w:rPr>
          <w:rFonts w:ascii="Arial" w:hAnsi="Arial" w:cs="Arial"/>
          <w:bCs/>
          <w:iCs/>
        </w:rPr>
        <w:t>Family C</w:t>
      </w:r>
    </w:p>
    <w:p w14:paraId="7772D606" w14:textId="284AE7A2" w:rsidR="00FE50C9" w:rsidRPr="0025612C" w:rsidRDefault="0025612C" w:rsidP="0025612C">
      <w:pPr>
        <w:pStyle w:val="Para"/>
      </w:pPr>
      <w:r>
        <w:rPr>
          <w:rFonts w:ascii="Arial" w:hAnsi="Arial" w:cs="Arial"/>
          <w:bCs/>
          <w:iCs/>
        </w:rPr>
        <w:t>A 60-year-old Vietnamese man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C. II-5) presented with decreased vision in the left eye. Slit lamp examination revealed fine peripheral gray-white opacities at the level of the DM and central guttae in the right eye, and fine central epithelial edema, moderate stromal edema and DM folds in the left eye (</w:t>
      </w:r>
      <w:hyperlink w:anchor="fig2" w:history="1">
        <w:r>
          <w:rPr>
            <w:rStyle w:val="Hyperlink"/>
            <w:rFonts w:ascii="Arial" w:hAnsi="Arial" w:cs="Arial"/>
            <w:bCs/>
            <w:iCs/>
          </w:rPr>
          <w:t>Fig. 2</w:t>
        </w:r>
      </w:hyperlink>
      <w:r w:rsidRPr="00480E93">
        <w:rPr>
          <w:rFonts w:ascii="Arial" w:hAnsi="Arial" w:cs="Arial"/>
          <w:bCs/>
          <w:iCs/>
        </w:rPr>
        <w:t>H</w:t>
      </w:r>
      <w:r>
        <w:rPr>
          <w:rFonts w:ascii="Arial" w:hAnsi="Arial" w:cs="Arial"/>
          <w:bCs/>
          <w:iCs/>
        </w:rPr>
        <w:t xml:space="preserve">). CVA measured 20/70 OD and CF at 1 meter OS, while central pachymetry measured 457 </w:t>
      </w:r>
      <w:r>
        <w:rPr>
          <w:rFonts w:ascii="Arial" w:hAnsi="Arial" w:cs="Arial"/>
          <w:bCs/>
        </w:rPr>
        <w:t>µm</w:t>
      </w:r>
      <w:r>
        <w:rPr>
          <w:rFonts w:ascii="Arial" w:hAnsi="Arial" w:cs="Arial"/>
          <w:bCs/>
          <w:iCs/>
        </w:rPr>
        <w:t xml:space="preserve"> OD and 602 </w:t>
      </w:r>
      <w:r>
        <w:rPr>
          <w:rFonts w:ascii="Arial" w:hAnsi="Arial" w:cs="Arial"/>
          <w:bCs/>
        </w:rPr>
        <w:t>µm</w:t>
      </w:r>
      <w:r>
        <w:rPr>
          <w:rFonts w:ascii="Arial" w:hAnsi="Arial" w:cs="Arial"/>
          <w:bCs/>
          <w:iCs/>
        </w:rPr>
        <w:t xml:space="preserve"> OS. A combined DMEK, cataract extraction was performed in the left eye, with the restoration of a clear cornea (</w:t>
      </w:r>
      <w:hyperlink w:anchor="fig2" w:history="1">
        <w:r>
          <w:rPr>
            <w:rStyle w:val="Hyperlink"/>
            <w:rFonts w:ascii="Arial" w:hAnsi="Arial" w:cs="Arial"/>
            <w:bCs/>
            <w:iCs/>
          </w:rPr>
          <w:t>Fig. 2</w:t>
        </w:r>
      </w:hyperlink>
      <w:r w:rsidRPr="00480E93">
        <w:rPr>
          <w:rFonts w:ascii="Arial" w:hAnsi="Arial" w:cs="Arial"/>
          <w:bCs/>
          <w:iCs/>
        </w:rPr>
        <w:t>I</w:t>
      </w:r>
      <w:r>
        <w:rPr>
          <w:rFonts w:ascii="Arial" w:hAnsi="Arial" w:cs="Arial"/>
          <w:bCs/>
          <w:iCs/>
        </w:rPr>
        <w:t>). Examination of the proband’s 72-year-old sister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C. II-1) revealed similar appearing white macular deposits, more profound in size and number, primarily located in the superior and inferior posterior peripheral cornea in both eyes (</w:t>
      </w:r>
      <w:hyperlink w:anchor="fig2" w:history="1">
        <w:r>
          <w:rPr>
            <w:rStyle w:val="Hyperlink"/>
            <w:rFonts w:ascii="Arial" w:hAnsi="Arial" w:cs="Arial"/>
            <w:bCs/>
            <w:iCs/>
          </w:rPr>
          <w:t>Fig. 2</w:t>
        </w:r>
      </w:hyperlink>
      <w:r w:rsidRPr="00480E93">
        <w:rPr>
          <w:rFonts w:ascii="Arial" w:hAnsi="Arial" w:cs="Arial"/>
          <w:bCs/>
          <w:iCs/>
        </w:rPr>
        <w:t>J</w:t>
      </w:r>
      <w:r>
        <w:rPr>
          <w:rFonts w:ascii="Arial" w:hAnsi="Arial" w:cs="Arial"/>
          <w:bCs/>
          <w:iCs/>
        </w:rPr>
        <w:t xml:space="preserve">). Trace corneal stromal edema was present in both eyes with central corneal pachymetry measuring 551 </w:t>
      </w:r>
      <w:r>
        <w:rPr>
          <w:rFonts w:ascii="Arial" w:hAnsi="Arial" w:cs="Arial"/>
          <w:bCs/>
        </w:rPr>
        <w:t>µm</w:t>
      </w:r>
      <w:r>
        <w:rPr>
          <w:rFonts w:ascii="Arial" w:hAnsi="Arial" w:cs="Arial"/>
          <w:bCs/>
          <w:iCs/>
        </w:rPr>
        <w:t xml:space="preserve"> OD and 532 </w:t>
      </w:r>
      <w:r>
        <w:rPr>
          <w:rFonts w:ascii="Arial" w:hAnsi="Arial" w:cs="Arial"/>
          <w:bCs/>
        </w:rPr>
        <w:t>µm</w:t>
      </w:r>
      <w:r>
        <w:rPr>
          <w:rFonts w:ascii="Arial" w:hAnsi="Arial" w:cs="Arial"/>
          <w:bCs/>
          <w:iCs/>
        </w:rPr>
        <w:t xml:space="preserve"> OS. Eight other family members who were examined demonstrated clear corneas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C). The parents of the proband, who were third cousins, were deceased and their medical records were not available.</w:t>
      </w:r>
    </w:p>
    <w:p w14:paraId="2049BFDC" w14:textId="726ADC16" w:rsidR="003C4450" w:rsidRPr="0025612C" w:rsidRDefault="0025612C" w:rsidP="0025612C">
      <w:pPr>
        <w:pStyle w:val="Head3"/>
      </w:pPr>
      <w:r>
        <w:rPr>
          <w:rFonts w:ascii="Arial" w:hAnsi="Arial" w:cs="Arial"/>
          <w:bCs/>
          <w:iCs/>
        </w:rPr>
        <w:t>Family D</w:t>
      </w:r>
    </w:p>
    <w:p w14:paraId="3B2EECDE" w14:textId="49A667DE" w:rsidR="00FE50C9" w:rsidRPr="0025612C" w:rsidRDefault="0025612C" w:rsidP="0025612C">
      <w:pPr>
        <w:pStyle w:val="Para"/>
      </w:pPr>
      <w:r>
        <w:rPr>
          <w:rFonts w:ascii="Arial" w:hAnsi="Arial" w:cs="Arial"/>
          <w:bCs/>
        </w:rPr>
        <w:t>A 41-year-old Vietnamese 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D. II-1) presented with blurred vision and foreign body sensation, worse in the morning, in both eyes (OS &gt; OD) for two years. Corrected visual acuity measured 20/25 OD and 20/50 OS. Slit lamp biomicroscopy revealed moderate diffuse stromal edema, 3+ endothelial guttae and peripheral grey-white discrete opacities at the level of the DM in both eyes (</w:t>
      </w:r>
      <w:hyperlink w:anchor="fig3" w:history="1">
        <w:r>
          <w:rPr>
            <w:rStyle w:val="Hyperlink"/>
            <w:rFonts w:ascii="Arial" w:hAnsi="Arial" w:cs="Arial"/>
            <w:bCs/>
          </w:rPr>
          <w:t>Fig. 3</w:t>
        </w:r>
      </w:hyperlink>
      <w:r w:rsidRPr="00480E93">
        <w:rPr>
          <w:rFonts w:ascii="Arial" w:hAnsi="Arial" w:cs="Arial"/>
          <w:bCs/>
        </w:rPr>
        <w:t>A</w:t>
      </w:r>
      <w:r>
        <w:rPr>
          <w:rFonts w:ascii="Arial" w:hAnsi="Arial" w:cs="Arial"/>
          <w:bCs/>
        </w:rPr>
        <w:t>). Central corneal pachymetry measured by Pentacam for the central 0-2 mm zone was 505 – 522 µm OD and 545 - 742 µm OS and AS-OCT revealed stromal edema and DM folds in the left eye (</w:t>
      </w:r>
      <w:hyperlink w:anchor="fig3" w:history="1">
        <w:r>
          <w:rPr>
            <w:rStyle w:val="Hyperlink"/>
            <w:rFonts w:ascii="Arial" w:hAnsi="Arial" w:cs="Arial"/>
            <w:bCs/>
          </w:rPr>
          <w:t>Fig. 3</w:t>
        </w:r>
      </w:hyperlink>
      <w:r w:rsidRPr="00480E93">
        <w:rPr>
          <w:rFonts w:ascii="Arial" w:hAnsi="Arial" w:cs="Arial"/>
          <w:bCs/>
        </w:rPr>
        <w:t>B</w:t>
      </w:r>
      <w:r>
        <w:rPr>
          <w:rFonts w:ascii="Arial" w:hAnsi="Arial" w:cs="Arial"/>
          <w:bCs/>
        </w:rPr>
        <w:t>). Examination of the proband’s 36-year-old brother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D. II-3) revealed no stromal edema, central 2 mm guttae, and a few fine opacities in the peripheral superior posterior cornea of the right eye. His left eye demonstrated focal inferior paracentral corneal epithelial and stromal edema, and a few discrete grey macular opacites at the level of DM in the superior and nasal periphery (</w:t>
      </w:r>
      <w:hyperlink w:anchor="fig3" w:history="1">
        <w:r>
          <w:rPr>
            <w:rStyle w:val="Hyperlink"/>
            <w:rFonts w:ascii="Arial" w:hAnsi="Arial" w:cs="Arial"/>
            <w:bCs/>
          </w:rPr>
          <w:t>Fig. 3</w:t>
        </w:r>
      </w:hyperlink>
      <w:r w:rsidRPr="00480E93">
        <w:rPr>
          <w:rFonts w:ascii="Arial" w:hAnsi="Arial" w:cs="Arial"/>
          <w:bCs/>
        </w:rPr>
        <w:t>C</w:t>
      </w:r>
      <w:r>
        <w:rPr>
          <w:rFonts w:ascii="Arial" w:hAnsi="Arial" w:cs="Arial"/>
          <w:bCs/>
        </w:rPr>
        <w:t xml:space="preserve">). Examination of the proband’s 31-year-old brother </w:t>
      </w:r>
      <w:r w:rsidRPr="0025612C">
        <w:rPr>
          <w:rFonts w:ascii="Arial" w:hAnsi="Arial" w:cs="Arial"/>
          <w:bCs/>
          <w:iCs/>
        </w:rPr>
        <w:t>(</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D. II-5) revealed a few discrete gray posterior stromal opacities bilaterally, located only in superior peripheral cornea, without corneal edema (</w:t>
      </w:r>
      <w:hyperlink w:anchor="fig3" w:history="1">
        <w:r>
          <w:rPr>
            <w:rStyle w:val="Hyperlink"/>
            <w:rFonts w:ascii="Arial" w:hAnsi="Arial" w:cs="Arial"/>
            <w:bCs/>
          </w:rPr>
          <w:t>Fig. 3</w:t>
        </w:r>
      </w:hyperlink>
      <w:r w:rsidRPr="00480E93">
        <w:rPr>
          <w:rFonts w:ascii="Arial" w:hAnsi="Arial" w:cs="Arial"/>
          <w:bCs/>
        </w:rPr>
        <w:t>D</w:t>
      </w:r>
      <w:r>
        <w:rPr>
          <w:rFonts w:ascii="Arial" w:hAnsi="Arial" w:cs="Arial"/>
          <w:bCs/>
        </w:rPr>
        <w:t>).</w:t>
      </w:r>
      <w:r>
        <w:rPr>
          <w:rFonts w:ascii="Arial" w:hAnsi="Arial" w:cs="Arial"/>
          <w:bCs/>
          <w:iCs/>
        </w:rPr>
        <w:t xml:space="preserve"> Eight other family members who were examined demonstrated clear corneas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D).</w:t>
      </w:r>
    </w:p>
    <w:p w14:paraId="7AA119DB" w14:textId="06F3C172" w:rsidR="002C28D7" w:rsidRPr="0025612C" w:rsidRDefault="0025612C" w:rsidP="0025612C">
      <w:pPr>
        <w:pStyle w:val="Head3"/>
      </w:pPr>
      <w:r>
        <w:rPr>
          <w:rFonts w:ascii="Arial" w:hAnsi="Arial" w:cs="Arial"/>
          <w:bCs/>
          <w:iCs/>
        </w:rPr>
        <w:t>Family E</w:t>
      </w:r>
    </w:p>
    <w:p w14:paraId="23969108" w14:textId="239FBA94" w:rsidR="002C28D7" w:rsidRPr="0025612C" w:rsidRDefault="0025612C" w:rsidP="0025612C">
      <w:pPr>
        <w:pStyle w:val="Para"/>
      </w:pPr>
      <w:r>
        <w:rPr>
          <w:rFonts w:ascii="Arial" w:hAnsi="Arial" w:cs="Arial"/>
          <w:bCs/>
        </w:rPr>
        <w:t>A 54-year-old Vietnamese woman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E. II-1) presented with a progressive decrease in vision and foreign body sensation in both eyes for four years. CVA measured CF at 0.2 meter OD and at 0.5 meter OS. </w:t>
      </w:r>
      <w:r>
        <w:rPr>
          <w:rFonts w:ascii="Arial" w:hAnsi="Arial" w:cs="Arial"/>
          <w:bCs/>
          <w:iCs/>
        </w:rPr>
        <w:t>Slit lamp examination revealed central corneal epithelial bullae, diffuse moderate stromal edema, and fine peripheral grey macular deposits at the level of DM, primarily in the superior and inferior peripheral cornea, in both eyes (</w:t>
      </w:r>
      <w:hyperlink w:anchor="fig3" w:history="1">
        <w:r>
          <w:rPr>
            <w:rStyle w:val="Hyperlink"/>
            <w:rFonts w:ascii="Arial" w:hAnsi="Arial" w:cs="Arial"/>
            <w:bCs/>
            <w:iCs/>
          </w:rPr>
          <w:t>Fig. 3</w:t>
        </w:r>
      </w:hyperlink>
      <w:r w:rsidRPr="00480E93">
        <w:rPr>
          <w:rFonts w:ascii="Arial" w:hAnsi="Arial" w:cs="Arial"/>
          <w:bCs/>
          <w:iCs/>
        </w:rPr>
        <w:t>E</w:t>
      </w:r>
      <w:r>
        <w:rPr>
          <w:rFonts w:ascii="Arial" w:hAnsi="Arial" w:cs="Arial"/>
          <w:bCs/>
          <w:iCs/>
        </w:rPr>
        <w:t>). AS-OCT imaging revealed corneal epithelial and stromal edema in both eyes, and central corneal thickness measured 685 – 696</w:t>
      </w:r>
      <w:r>
        <w:rPr>
          <w:rFonts w:ascii="Arial" w:hAnsi="Arial" w:cs="Arial"/>
          <w:bCs/>
        </w:rPr>
        <w:t xml:space="preserve"> µm OD</w:t>
      </w:r>
      <w:r>
        <w:rPr>
          <w:rFonts w:ascii="Arial" w:hAnsi="Arial" w:cs="Arial"/>
          <w:bCs/>
          <w:iCs/>
        </w:rPr>
        <w:t xml:space="preserve"> and </w:t>
      </w:r>
      <w:r>
        <w:rPr>
          <w:rFonts w:ascii="Arial" w:hAnsi="Arial" w:cs="Arial"/>
          <w:bCs/>
        </w:rPr>
        <w:t>715 µm OS using AS-OCT (Supplemental Fig. 1B). The proband’s 42-year-old younger sister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E. II-2) had CVA of CF at 0.2 meters OD and CF at 0.6 meters OS secondary to epithelial bullae, subepithelial fibrosis and stromal edema in both eyes (</w:t>
      </w:r>
      <w:hyperlink w:anchor="fig3" w:history="1">
        <w:r>
          <w:rPr>
            <w:rStyle w:val="Hyperlink"/>
            <w:rFonts w:ascii="Arial" w:hAnsi="Arial" w:cs="Arial"/>
            <w:bCs/>
          </w:rPr>
          <w:t>Fig. 3</w:t>
        </w:r>
      </w:hyperlink>
      <w:r w:rsidRPr="00480E93">
        <w:rPr>
          <w:rFonts w:ascii="Arial" w:hAnsi="Arial" w:cs="Arial"/>
          <w:bCs/>
        </w:rPr>
        <w:t>F</w:t>
      </w:r>
      <w:r>
        <w:rPr>
          <w:rFonts w:ascii="Arial" w:hAnsi="Arial" w:cs="Arial"/>
          <w:bCs/>
        </w:rPr>
        <w:t>). Central corneal pachymetry measured 851 µm OD and 836 µm OS using AS-OCT (Supplemental Fig. 1C).</w:t>
      </w:r>
    </w:p>
    <w:p w14:paraId="3B2BC20E" w14:textId="256DF4B4" w:rsidR="003C4450" w:rsidRPr="0025612C" w:rsidRDefault="0025612C" w:rsidP="0025612C">
      <w:pPr>
        <w:pStyle w:val="Head3"/>
      </w:pPr>
      <w:r>
        <w:rPr>
          <w:rFonts w:ascii="Arial" w:hAnsi="Arial" w:cs="Arial"/>
          <w:bCs/>
          <w:iCs/>
        </w:rPr>
        <w:t>Family F</w:t>
      </w:r>
    </w:p>
    <w:p w14:paraId="03705EB3" w14:textId="3F6D3882" w:rsidR="00FE50C9" w:rsidRPr="0025612C" w:rsidRDefault="0025612C" w:rsidP="0025612C">
      <w:pPr>
        <w:pStyle w:val="Para"/>
      </w:pPr>
      <w:r>
        <w:rPr>
          <w:rFonts w:ascii="Arial" w:hAnsi="Arial" w:cs="Arial"/>
          <w:bCs/>
        </w:rPr>
        <w:t>A 64-year-old Vietnamese 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F. I-1) presented with a two-year history of declining vision in both eyes, with CVA decreasing from 20/40 to 20/100 in the right eye and from 20/100 to hand motion in the left eye. Slit lamp biomicroscopy revealed fine grey-white peripheral opacities at the level of the DM in both eyes (</w:t>
      </w:r>
      <w:hyperlink w:anchor="fig3" w:history="1">
        <w:r>
          <w:rPr>
            <w:rStyle w:val="Hyperlink"/>
            <w:rFonts w:ascii="Arial" w:hAnsi="Arial" w:cs="Arial"/>
            <w:bCs/>
          </w:rPr>
          <w:t>Fig. 3</w:t>
        </w:r>
      </w:hyperlink>
      <w:r w:rsidRPr="00480E93">
        <w:rPr>
          <w:rFonts w:ascii="Arial" w:hAnsi="Arial" w:cs="Arial"/>
          <w:bCs/>
        </w:rPr>
        <w:t>G</w:t>
      </w:r>
      <w:r>
        <w:rPr>
          <w:rFonts w:ascii="Arial" w:hAnsi="Arial" w:cs="Arial"/>
          <w:bCs/>
        </w:rPr>
        <w:t>). Focal inferior epithelial and diffuse mild stromal edema were present in the right cornea, while diffuse epithelial edema, subepithelial fibrosis and severe stromal edema were present in the left eye. Central corneal pachymetry measured 700 µm OD and 1100 µm OS using UBM. DSEK was performed in the left eye, after which the corneal edema improved to trace stromal edema and CVA improved to counting finger at 1 meter (</w:t>
      </w:r>
      <w:hyperlink w:anchor="fig3" w:history="1">
        <w:r>
          <w:rPr>
            <w:rStyle w:val="Hyperlink"/>
            <w:rFonts w:ascii="Arial" w:hAnsi="Arial" w:cs="Arial"/>
            <w:bCs/>
          </w:rPr>
          <w:t>Fig. 3</w:t>
        </w:r>
      </w:hyperlink>
      <w:r w:rsidRPr="00480E93">
        <w:rPr>
          <w:rFonts w:ascii="Arial" w:hAnsi="Arial" w:cs="Arial"/>
          <w:bCs/>
        </w:rPr>
        <w:t>H</w:t>
      </w:r>
      <w:r>
        <w:rPr>
          <w:rFonts w:ascii="Arial" w:hAnsi="Arial" w:cs="Arial"/>
          <w:bCs/>
        </w:rPr>
        <w:t>).</w:t>
      </w:r>
    </w:p>
    <w:p w14:paraId="32BDF213" w14:textId="410D9A3B" w:rsidR="003C4450" w:rsidRPr="0025612C" w:rsidRDefault="0025612C" w:rsidP="0025612C">
      <w:pPr>
        <w:pStyle w:val="Head3"/>
      </w:pPr>
      <w:r>
        <w:rPr>
          <w:rFonts w:ascii="Arial" w:hAnsi="Arial" w:cs="Arial"/>
          <w:bCs/>
          <w:iCs/>
        </w:rPr>
        <w:t>Family G</w:t>
      </w:r>
    </w:p>
    <w:p w14:paraId="1F1418A7" w14:textId="19A11865" w:rsidR="00FE50C9" w:rsidRPr="0025612C" w:rsidRDefault="0025612C" w:rsidP="0025612C">
      <w:pPr>
        <w:pStyle w:val="Para"/>
      </w:pPr>
      <w:r>
        <w:rPr>
          <w:rFonts w:ascii="Arial" w:hAnsi="Arial" w:cs="Arial"/>
          <w:bCs/>
        </w:rPr>
        <w:t>A 58-year-old Vietnamese 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G. I-1) presented for evaluation of white deposits in both corneas diagnosed 7 years prior. CVA measured 20/20 OD and 20/25 OS. Slit lamp examination revealed grey-white macular deposits at the level of the DM in both eyes. While the deposits in the paracentral cornea were discrete, they coalesced into confluent opacities on the peripheral posterior cornea of each eye (</w:t>
      </w:r>
      <w:hyperlink w:anchor="fig3" w:history="1">
        <w:r>
          <w:rPr>
            <w:rStyle w:val="Hyperlink"/>
            <w:rFonts w:ascii="Arial" w:hAnsi="Arial" w:cs="Arial"/>
            <w:bCs/>
          </w:rPr>
          <w:t>Fig. 3</w:t>
        </w:r>
      </w:hyperlink>
      <w:r w:rsidRPr="00480E93">
        <w:rPr>
          <w:rFonts w:ascii="Arial" w:hAnsi="Arial" w:cs="Arial"/>
          <w:bCs/>
        </w:rPr>
        <w:t>I</w:t>
      </w:r>
      <w:r>
        <w:rPr>
          <w:rFonts w:ascii="Arial" w:hAnsi="Arial" w:cs="Arial"/>
          <w:bCs/>
        </w:rPr>
        <w:t>).</w:t>
      </w:r>
    </w:p>
    <w:p w14:paraId="37D58C79" w14:textId="34D51B88" w:rsidR="00DC6E8B" w:rsidRPr="0025612C" w:rsidRDefault="0025612C" w:rsidP="0025612C">
      <w:pPr>
        <w:pStyle w:val="Head1"/>
      </w:pPr>
      <w:r>
        <w:rPr>
          <w:rFonts w:ascii="Arial" w:hAnsi="Arial" w:cs="Arial"/>
        </w:rPr>
        <w:t>Genetic Analysis</w:t>
      </w:r>
    </w:p>
    <w:p w14:paraId="7ECD0C26" w14:textId="5109459E" w:rsidR="003C4450" w:rsidRPr="0025612C" w:rsidRDefault="0025612C" w:rsidP="0025612C">
      <w:pPr>
        <w:pStyle w:val="Para"/>
      </w:pPr>
      <w:r>
        <w:rPr>
          <w:rFonts w:ascii="Arial" w:hAnsi="Arial" w:cs="Arial"/>
          <w:bCs/>
          <w:iCs/>
        </w:rPr>
        <w:t>Identified CHST6 promoter mutation c.-690G&gt;C, in homozygous state or in compound heterozygous state with a coding region mutation, segregated with affected status in seven families</w:t>
      </w:r>
    </w:p>
    <w:p w14:paraId="2B2C88CA" w14:textId="2C6B7B1A" w:rsidR="00FE50C9" w:rsidRPr="0025612C" w:rsidRDefault="0025612C" w:rsidP="0025612C">
      <w:pPr>
        <w:pStyle w:val="Para"/>
      </w:pPr>
      <w:r>
        <w:rPr>
          <w:rFonts w:ascii="Arial" w:hAnsi="Arial" w:cs="Arial"/>
          <w:bCs/>
          <w:iCs/>
        </w:rPr>
        <w:t xml:space="preserve">The macular appearance of the peripheral opacities in affected individuals prompted screening of the coding and putative promoter regions of the </w:t>
      </w:r>
      <w:r>
        <w:rPr>
          <w:rFonts w:ascii="Arial" w:hAnsi="Arial" w:cs="Arial"/>
          <w:bCs/>
          <w:i/>
          <w:iCs/>
        </w:rPr>
        <w:t>CHST6</w:t>
      </w:r>
      <w:r>
        <w:rPr>
          <w:rFonts w:ascii="Arial" w:hAnsi="Arial" w:cs="Arial"/>
          <w:bCs/>
          <w:iCs/>
        </w:rPr>
        <w:t xml:space="preserve"> gene. A rare promoter mutation n.-97G&gt;C, c.-690G&gt;C (GRCh38.p14 chr16: g.75495538C&gt;G, rs1009794816, GnomAD MAF 0.000064), was identified in all affected individuals in either a homozygous state or in a compound heterozygous state with a </w:t>
      </w:r>
      <w:r>
        <w:rPr>
          <w:rFonts w:ascii="Arial" w:hAnsi="Arial" w:cs="Arial"/>
          <w:bCs/>
          <w:i/>
          <w:iCs/>
        </w:rPr>
        <w:t>CHST6</w:t>
      </w:r>
      <w:r>
        <w:rPr>
          <w:rFonts w:ascii="Arial" w:hAnsi="Arial" w:cs="Arial"/>
          <w:bCs/>
          <w:iCs/>
        </w:rPr>
        <w:t xml:space="preserve"> coding mutation, with the exception of the affected mother of the proband in Family A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A. I-2) (</w:t>
      </w:r>
      <w:hyperlink w:anchor="tb1" w:history="1">
        <w:r>
          <w:rPr>
            <w:rStyle w:val="Hyperlink"/>
            <w:rFonts w:ascii="Arial" w:hAnsi="Arial" w:cs="Arial"/>
            <w:bCs/>
            <w:iCs/>
          </w:rPr>
          <w:t>Table 1</w:t>
        </w:r>
      </w:hyperlink>
      <w:r>
        <w:rPr>
          <w:rFonts w:ascii="Arial" w:hAnsi="Arial" w:cs="Arial"/>
          <w:bCs/>
          <w:iCs/>
        </w:rPr>
        <w:t>). 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(GRCh38.p14 chr16:</w:t>
      </w:r>
      <w:r>
        <w:rPr>
          <w:rFonts w:ascii="Source Sans Pro" w:hAnsi="Source Sans Pro"/>
          <w:szCs w:val="26"/>
          <w:shd w:val="clear" w:color="auto" w:fill="FFFFFF"/>
        </w:rPr>
        <w:t xml:space="preserve"> g.</w:t>
      </w:r>
      <w:r>
        <w:rPr>
          <w:rFonts w:ascii="Arial" w:hAnsi="Arial" w:cs="Arial"/>
          <w:bCs/>
          <w:iCs/>
        </w:rPr>
        <w:t>75478990G&gt;A, rs201767298, no MAF) while unaffected individuals were heterozygous for either mutation. In Family B, E, and G, affected individuals were homozygous and unaffected individuals were heterozygous for the c.-690G&gt;C mutation. In Family C, affected individuals were compound heterozygous for c.-690G&gt;C with a rare coding mutation c.803A&gt;G, p.(Tyr268Cys) (GRCh38.p14 chr16:</w:t>
      </w:r>
      <w:r w:rsidRPr="0025612C">
        <w:rPr>
          <w:rFonts w:ascii="Source Sans Pro" w:hAnsi="Source Sans Pro"/>
          <w:szCs w:val="26"/>
          <w:shd w:val="clear" w:color="auto" w:fill="F9F9F9"/>
        </w:rPr>
        <w:t xml:space="preserve"> </w:t>
      </w:r>
      <w:r>
        <w:rPr>
          <w:rFonts w:ascii="Arial" w:hAnsi="Arial" w:cs="Arial"/>
          <w:bCs/>
          <w:iCs/>
        </w:rPr>
        <w:t>g.75479026T&gt;C, rs72547539, GnomAD MAF 0.000064), whereas unaffected individuals were heterozygous for one of the two mutations. In Families D and F, affected individuals were compound heterozygous for c.-690G&gt;C with a rare coding mutation c.632G&gt;A, p.(Arg211Gln) (GRCh38.p14 chr16:</w:t>
      </w:r>
      <w:r w:rsidRPr="0025612C">
        <w:rPr>
          <w:rFonts w:ascii="Source Sans Pro" w:hAnsi="Source Sans Pro"/>
          <w:szCs w:val="26"/>
          <w:shd w:val="clear" w:color="auto" w:fill="FFFFFF"/>
        </w:rPr>
        <w:t xml:space="preserve"> </w:t>
      </w:r>
      <w:r>
        <w:rPr>
          <w:rFonts w:ascii="Arial" w:hAnsi="Arial" w:cs="Arial"/>
          <w:bCs/>
          <w:iCs/>
        </w:rPr>
        <w:t>g.75479197C&gt;T, rs771397083, GnomAD MAF 0.000004), while unaffected individuals were heterozygous for one of the two mutations.</w:t>
      </w:r>
    </w:p>
    <w:p w14:paraId="5072B36E" w14:textId="7E7D7D4E" w:rsidR="00FE50C9" w:rsidRPr="0025612C" w:rsidRDefault="0025612C" w:rsidP="0025612C">
      <w:pPr>
        <w:pStyle w:val="Para"/>
      </w:pPr>
      <w:r>
        <w:rPr>
          <w:rFonts w:ascii="Arial" w:hAnsi="Arial" w:cs="Arial"/>
          <w:bCs/>
          <w:iCs/>
        </w:rPr>
        <w:t>Two common promoter variants adjacent to c.-690G&gt;C mutation, c.-792C&gt;T (GRCh38.p14 chr16:</w:t>
      </w:r>
      <w:r w:rsidRPr="0025612C">
        <w:rPr>
          <w:rFonts w:ascii="Source Sans Pro" w:hAnsi="Source Sans Pro"/>
          <w:szCs w:val="26"/>
          <w:shd w:val="clear" w:color="auto" w:fill="F9F9F9"/>
        </w:rPr>
        <w:t xml:space="preserve"> </w:t>
      </w:r>
      <w:r>
        <w:rPr>
          <w:rFonts w:ascii="Arial" w:hAnsi="Arial" w:cs="Arial"/>
          <w:bCs/>
          <w:iCs/>
        </w:rPr>
        <w:t>g.75495640G&gt;A, rs2550322, TOPMED MAF 0.034) and c.-668C&gt;T (GRCh38.p14 chr16: g.75495516G&gt;A, rs2550323, TOPMED MAF 0.114) were identified in all individuals with the c.-690G&gt;C mutation and were confirmed to be on the same allele (</w:t>
      </w:r>
      <w:r>
        <w:rPr>
          <w:rFonts w:ascii="Arial" w:hAnsi="Arial" w:cs="Arial"/>
          <w:bCs/>
          <w:i/>
          <w:iCs/>
        </w:rPr>
        <w:t>in cis</w:t>
      </w:r>
      <w:r>
        <w:rPr>
          <w:rFonts w:ascii="Arial" w:hAnsi="Arial" w:cs="Arial"/>
          <w:bCs/>
          <w:iCs/>
        </w:rPr>
        <w:t xml:space="preserve">) as c.-690G&gt;C. The three adjacent variants </w:t>
      </w:r>
      <w:r>
        <w:rPr>
          <w:rFonts w:ascii="Arial" w:hAnsi="Arial" w:cs="Arial"/>
          <w:bCs/>
          <w:i/>
        </w:rPr>
        <w:t>in cis</w:t>
      </w:r>
      <w:r>
        <w:rPr>
          <w:rFonts w:ascii="Arial" w:hAnsi="Arial" w:cs="Arial"/>
          <w:bCs/>
          <w:iCs/>
        </w:rPr>
        <w:t xml:space="preserve"> are denoted as c.[-668C&gt;T; -690G&gt;C; -792C&gt;T]. In regards to the large deletion and rearrangement of </w:t>
      </w:r>
      <w:r>
        <w:rPr>
          <w:rFonts w:ascii="Arial" w:hAnsi="Arial" w:cs="Arial"/>
          <w:bCs/>
          <w:i/>
        </w:rPr>
        <w:t xml:space="preserve">CHST6 </w:t>
      </w:r>
      <w:r>
        <w:rPr>
          <w:rFonts w:ascii="Arial" w:hAnsi="Arial" w:cs="Arial"/>
          <w:bCs/>
          <w:iCs/>
        </w:rPr>
        <w:t>upstream region previously associated with MCD type II</w:t>
      </w:r>
      <w:hyperlink w:anchor="bib17" w:history="1">
        <w:r>
          <w:rPr>
            <w:rStyle w:val="Hyperlink"/>
            <w:rFonts w:ascii="Arial" w:hAnsi="Arial" w:cs="Arial"/>
            <w:bCs/>
            <w:iCs/>
            <w:noProof/>
            <w:vertAlign w:val="superscript"/>
          </w:rPr>
          <w:t>17</w:t>
        </w:r>
      </w:hyperlink>
      <w:r>
        <w:rPr>
          <w:rFonts w:ascii="Arial" w:hAnsi="Arial" w:cs="Arial"/>
          <w:bCs/>
          <w:iCs/>
        </w:rPr>
        <w:t>, a heterozygous deletion was identified in only one of the probands, in family A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II-2).</w:t>
      </w:r>
    </w:p>
    <w:p w14:paraId="7A297A87" w14:textId="4511B64C" w:rsidR="003C4450" w:rsidRPr="0025612C" w:rsidRDefault="0025612C" w:rsidP="0025612C">
      <w:pPr>
        <w:pStyle w:val="Head2"/>
      </w:pPr>
      <w:r>
        <w:rPr>
          <w:rFonts w:ascii="Arial" w:hAnsi="Arial" w:cs="Arial"/>
          <w:bCs/>
          <w:iCs/>
        </w:rPr>
        <w:t>Whole Exome Sequencing fails to identify other candidate genes associated with PMED</w:t>
      </w:r>
    </w:p>
    <w:p w14:paraId="7656DF9C" w14:textId="218E4497" w:rsidR="00E9557E" w:rsidRPr="0025612C" w:rsidRDefault="0025612C" w:rsidP="0025612C">
      <w:pPr>
        <w:pStyle w:val="Para"/>
      </w:pPr>
      <w:r>
        <w:rPr>
          <w:rFonts w:ascii="Arial" w:hAnsi="Arial" w:cs="Arial"/>
          <w:bCs/>
          <w:iCs/>
        </w:rPr>
        <w:t xml:space="preserve">All enrolled individuals from Families A, B, and C underwent WES. </w:t>
      </w:r>
      <w:r>
        <w:rPr>
          <w:rFonts w:ascii="Arial" w:hAnsi="Arial" w:cs="Arial"/>
          <w:bCs/>
        </w:rPr>
        <w:t xml:space="preserve">Assuming an autosomal recessive inheritance in Family C, homozygous or compound heterozygous candidate variants that segregated with affected status in Family C were identified in </w:t>
      </w:r>
      <w:r>
        <w:rPr>
          <w:rFonts w:ascii="Arial" w:hAnsi="Arial" w:cs="Arial"/>
          <w:bCs/>
          <w:i/>
          <w:iCs/>
        </w:rPr>
        <w:t>SND1</w:t>
      </w:r>
      <w:r>
        <w:rPr>
          <w:rFonts w:ascii="Arial" w:hAnsi="Arial" w:cs="Arial"/>
          <w:bCs/>
        </w:rPr>
        <w:t xml:space="preserve">, </w:t>
      </w:r>
      <w:r>
        <w:rPr>
          <w:rFonts w:ascii="Arial" w:hAnsi="Arial" w:cs="Arial"/>
          <w:bCs/>
          <w:i/>
          <w:iCs/>
        </w:rPr>
        <w:t>ANKRD36</w:t>
      </w:r>
      <w:r>
        <w:rPr>
          <w:rFonts w:ascii="Arial" w:hAnsi="Arial" w:cs="Arial"/>
          <w:bCs/>
        </w:rPr>
        <w:t xml:space="preserve"> and </w:t>
      </w:r>
      <w:r>
        <w:rPr>
          <w:rFonts w:ascii="Arial" w:hAnsi="Arial" w:cs="Arial"/>
          <w:bCs/>
          <w:i/>
          <w:iCs/>
        </w:rPr>
        <w:t>TAS2R43</w:t>
      </w:r>
      <w:r>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Pr>
          <w:rFonts w:ascii="Arial" w:hAnsi="Arial" w:cs="Arial"/>
          <w:bCs/>
          <w:i/>
          <w:iCs/>
        </w:rPr>
        <w:t xml:space="preserve">CFAP74, FAAP20, PRDM16, CHD5, GRB14, NUP210, ZNF860, FAM160A1, FAM186A, PDIA3 </w:t>
      </w:r>
      <w:r>
        <w:rPr>
          <w:rFonts w:ascii="Arial" w:hAnsi="Arial" w:cs="Arial"/>
          <w:bCs/>
        </w:rPr>
        <w:t xml:space="preserve">and </w:t>
      </w:r>
      <w:r>
        <w:rPr>
          <w:rFonts w:ascii="Arial" w:hAnsi="Arial" w:cs="Arial"/>
          <w:bCs/>
          <w:i/>
          <w:iCs/>
        </w:rPr>
        <w:t>NCOA6</w:t>
      </w:r>
      <w:r w:rsidRPr="0025612C">
        <w:rPr>
          <w:rFonts w:ascii="Arial" w:hAnsi="Arial" w:cs="Arial"/>
          <w:bCs/>
        </w:rPr>
        <w:t>.</w:t>
      </w:r>
      <w:r w:rsidRPr="0025612C">
        <w:rPr>
          <w:rFonts w:ascii="Arial" w:hAnsi="Arial" w:cs="Arial"/>
          <w:bCs/>
          <w:i/>
          <w:iCs/>
        </w:rPr>
        <w:t xml:space="preserve"> </w:t>
      </w:r>
      <w:r>
        <w:rPr>
          <w:rFonts w:ascii="Arial" w:hAnsi="Arial" w:cs="Arial"/>
          <w:bCs/>
        </w:rPr>
        <w:t>However, no candidate variant within these genes segregated with the affected status in Families A and B, excluding mutations in these genes as the genetic basis of PMED in each of these families (Supplemental Table 3).</w:t>
      </w:r>
    </w:p>
    <w:p w14:paraId="48C77295" w14:textId="52178FC4" w:rsidR="003C4450" w:rsidRPr="0025612C" w:rsidRDefault="0025612C" w:rsidP="0025612C">
      <w:pPr>
        <w:pStyle w:val="Head2"/>
      </w:pPr>
      <w:r>
        <w:rPr>
          <w:rFonts w:ascii="Arial" w:hAnsi="Arial" w:cs="Arial"/>
          <w:bCs/>
          <w:iCs/>
        </w:rPr>
        <w:t>CHST6 promoter variant c.-690G&gt;C is predicted to be a regulatory variant bound by RNA polymerase II</w:t>
      </w:r>
    </w:p>
    <w:p w14:paraId="33B2A123" w14:textId="431DF3BB" w:rsidR="00FE50C9" w:rsidRPr="0025612C" w:rsidRDefault="0025612C" w:rsidP="0025612C">
      <w:pPr>
        <w:pStyle w:val="Para"/>
      </w:pPr>
      <w:r>
        <w:rPr>
          <w:rFonts w:ascii="Arial" w:hAnsi="Arial" w:cs="Arial"/>
          <w:bCs/>
          <w:i/>
        </w:rPr>
        <w:t>In silico</w:t>
      </w:r>
      <w:r>
        <w:rPr>
          <w:rFonts w:ascii="Arial" w:hAnsi="Arial" w:cs="Arial"/>
          <w:bCs/>
          <w:iCs/>
        </w:rPr>
        <w:t xml:space="preserve"> analysis using RegulomeDB predicted that c.-690G&gt;C is a regulatory variant with a score of 1 on a scale of 0 to 1 (</w:t>
      </w:r>
      <w:hyperlink w:anchor="tb2" w:history="1">
        <w:r>
          <w:rPr>
            <w:rStyle w:val="Hyperlink"/>
            <w:rFonts w:ascii="Arial" w:hAnsi="Arial" w:cs="Arial"/>
            <w:bCs/>
            <w:iCs/>
          </w:rPr>
          <w:t>Table 2</w:t>
        </w:r>
      </w:hyperlink>
      <w:r>
        <w:rPr>
          <w:rFonts w:ascii="Arial" w:hAnsi="Arial" w:cs="Arial"/>
          <w:bCs/>
          <w:iCs/>
        </w:rPr>
        <w:t>). This prediction is based on experimental data deposited in the ENCODE database, which includes information on transcriptional factor (TF) binding peaks, DNase footprint, DNase peaks, and the presence of TF binding motif (consensus genomic sequences that specifically bind TF). Among the available ChIP-seq data, the most frequently bound TF or subunit of transcriptional machinery at the genome coordinate of c.-690G&gt;C was RNA polymerase II subunit A (POL2A), observed in 10 out of 36 data sets. POL2A is the largest subunit of RNA polymerase II, responsible for synthesizing messenger RNA in eukaryotes. The identified common variants c.-792C&gt;T and c.-668C&gt;T were predicted to be moderately likely regulatory variants with scores of 0.61 and 0.56, respectively (</w:t>
      </w:r>
      <w:hyperlink w:anchor="tb2" w:history="1">
        <w:r>
          <w:rPr>
            <w:rStyle w:val="Hyperlink"/>
            <w:rFonts w:ascii="Arial" w:hAnsi="Arial" w:cs="Arial"/>
            <w:bCs/>
            <w:iCs/>
          </w:rPr>
          <w:t>Table 2</w:t>
        </w:r>
      </w:hyperlink>
      <w:r>
        <w:rPr>
          <w:rFonts w:ascii="Arial" w:hAnsi="Arial" w:cs="Arial"/>
          <w:bCs/>
          <w:iCs/>
        </w:rPr>
        <w:t xml:space="preserve">). </w:t>
      </w:r>
      <w:r>
        <w:rPr>
          <w:rFonts w:ascii="Arial" w:hAnsi="Arial" w:cs="Arial"/>
          <w:bCs/>
          <w:i/>
        </w:rPr>
        <w:t>In silico</w:t>
      </w:r>
      <w:r>
        <w:rPr>
          <w:rFonts w:ascii="Arial" w:hAnsi="Arial" w:cs="Arial"/>
          <w:bCs/>
          <w:iCs/>
        </w:rPr>
        <w:t xml:space="preserve"> analysis of the three identified coding variants, p.Arg211Gln, p.Tyr268Cys and p.Pro280Leu, predicted all to be “Deleterious” in PredictSNP2 and “Probably Damaging” in PolyPhen-2 (</w:t>
      </w:r>
      <w:hyperlink w:anchor="tb2" w:history="1">
        <w:r>
          <w:rPr>
            <w:rStyle w:val="Hyperlink"/>
            <w:rFonts w:ascii="Arial" w:hAnsi="Arial" w:cs="Arial"/>
            <w:bCs/>
            <w:iCs/>
          </w:rPr>
          <w:t>Table 2</w:t>
        </w:r>
      </w:hyperlink>
      <w:r>
        <w:rPr>
          <w:rFonts w:ascii="Arial" w:hAnsi="Arial" w:cs="Arial"/>
          <w:bCs/>
          <w:iCs/>
        </w:rPr>
        <w:t>).</w:t>
      </w:r>
    </w:p>
    <w:p w14:paraId="433A0FCE" w14:textId="48C85CEB" w:rsidR="00656007" w:rsidRPr="0025612C" w:rsidRDefault="0025612C" w:rsidP="0025612C">
      <w:pPr>
        <w:pStyle w:val="Head2"/>
      </w:pPr>
      <w:r>
        <w:rPr>
          <w:rFonts w:ascii="Arial" w:hAnsi="Arial" w:cs="Arial"/>
          <w:bCs/>
          <w:iCs/>
        </w:rPr>
        <w:t>CHST6 c.-690G&gt;C leads to increased sulfated KS in human corneal endothelial cells but not in human keratocytes</w:t>
      </w:r>
    </w:p>
    <w:p w14:paraId="3811925F" w14:textId="5CECF85F" w:rsidR="00FE50C9" w:rsidRPr="0025612C" w:rsidRDefault="0025612C" w:rsidP="0025612C">
      <w:pPr>
        <w:pStyle w:val="Para"/>
      </w:pPr>
      <w:r>
        <w:rPr>
          <w:rFonts w:ascii="Arial" w:hAnsi="Arial" w:cs="Arial"/>
          <w:bCs/>
          <w:iCs/>
        </w:rPr>
        <w:t xml:space="preserve">To assess the functional effects of the identified </w:t>
      </w:r>
      <w:r>
        <w:rPr>
          <w:rFonts w:ascii="Arial" w:hAnsi="Arial" w:cs="Arial"/>
          <w:bCs/>
          <w:i/>
          <w:iCs/>
        </w:rPr>
        <w:t>CHST6</w:t>
      </w:r>
      <w:r>
        <w:rPr>
          <w:rFonts w:ascii="Arial" w:hAnsi="Arial" w:cs="Arial"/>
          <w:bCs/>
          <w:iCs/>
        </w:rPr>
        <w:t xml:space="preserve"> variants, wild-type and/or mutant CHST6 promoter-containing expressing vectors (CGn6STwPro) were transfected into immortalized HCEnC and HK (</w:t>
      </w:r>
      <w:hyperlink w:anchor="fig4" w:history="1">
        <w:r>
          <w:rPr>
            <w:rStyle w:val="Hyperlink"/>
            <w:rFonts w:ascii="Arial" w:hAnsi="Arial" w:cs="Arial"/>
            <w:bCs/>
            <w:iCs/>
          </w:rPr>
          <w:t>Fig. 4</w:t>
        </w:r>
      </w:hyperlink>
      <w:r w:rsidRPr="00480E93">
        <w:rPr>
          <w:rFonts w:ascii="Arial" w:hAnsi="Arial" w:cs="Arial"/>
          <w:bCs/>
          <w:iCs/>
        </w:rPr>
        <w:t>A</w:t>
      </w:r>
      <w:r>
        <w:rPr>
          <w:rFonts w:ascii="Arial" w:hAnsi="Arial" w:cs="Arial"/>
          <w:bCs/>
          <w:iCs/>
        </w:rPr>
        <w:t>). In HCEnC, Western Blot results showed low levels of 5D4+ KS in cells transfected with wild-type CHST6 expression construct (WT/WT). However, increased levels of 5D4+ KS were observed following transfection with either c.-690G&gt;C promoter variant-containing construct (PT/PT or c.-690G&gt;C/c.-690G&gt;C), regardless of dose. The increase in 5D4+ KS was evident in HCEnC transfected under all conditions with c.-690G&gt;C promoter variant, including PT/PT, c.-690G&gt;C/c.-690G&gt;C, PT/P280L, PT/Y268C, WT/PT, c.-690G&gt;C/P280L, or c.-690G&gt;C/Y268C conditions. However, the levels of 5D4+ KS remained unchanged in HCEnC following transfection of only coding variant-containing constructs P280L/P280L and Y268C/Y268C (</w:t>
      </w:r>
      <w:hyperlink w:anchor="fig4" w:history="1">
        <w:r>
          <w:rPr>
            <w:rStyle w:val="Hyperlink"/>
            <w:rFonts w:ascii="Arial" w:hAnsi="Arial" w:cs="Arial"/>
            <w:bCs/>
            <w:iCs/>
          </w:rPr>
          <w:t>Fig. 4</w:t>
        </w:r>
      </w:hyperlink>
      <w:r w:rsidRPr="00480E93">
        <w:rPr>
          <w:rFonts w:ascii="Arial" w:hAnsi="Arial" w:cs="Arial"/>
          <w:bCs/>
          <w:iCs/>
        </w:rPr>
        <w:t>B</w:t>
      </w:r>
      <w:r>
        <w:rPr>
          <w:rFonts w:ascii="Arial" w:hAnsi="Arial" w:cs="Arial"/>
          <w:bCs/>
          <w:iCs/>
        </w:rPr>
        <w:t>, C).</w:t>
      </w:r>
    </w:p>
    <w:p w14:paraId="42F7E050" w14:textId="0B547B02" w:rsidR="008F033D" w:rsidRPr="0025612C" w:rsidRDefault="0025612C" w:rsidP="0025612C">
      <w:pPr>
        <w:pStyle w:val="Para"/>
      </w:pPr>
      <w:r>
        <w:rPr>
          <w:rFonts w:ascii="Arial" w:hAnsi="Arial" w:cs="Arial"/>
          <w:bCs/>
          <w:iCs/>
        </w:rPr>
        <w:t xml:space="preserve">In HK, on the contrary, there was significantly higher 5D4+ KS in cells transfected with wild-type CHST6 expression construct (WT/WT) compared to HCEnC WT/WT transfection. There was no change in 5D4+ KS level following transfection with c.-690G&gt;C promoter variant-containing constructs under PT/PT, c.-690G&gt;C/c.-690G&gt;C, PT/P280L, PT/Y268C, and WT/PT conditions, compared to HK transfected with WT/WT. Transfection in HK with coding variant-containing constructs, including c.-690G&gt;C/P280L, c.-690G&gt;C/Y268C, P280L/P280L, and Y268C/Y268C conditions, led to decreased 5D4+ KS levels compared to HK transfected with WT/WT. The above data suggested an aberrant 5D4+ KS overexpression in HCEnC is induced by the presence of </w:t>
      </w:r>
      <w:r>
        <w:rPr>
          <w:rFonts w:ascii="Arial" w:hAnsi="Arial" w:cs="Arial"/>
          <w:bCs/>
          <w:i/>
          <w:iCs/>
        </w:rPr>
        <w:t>CHST6</w:t>
      </w:r>
      <w:r>
        <w:rPr>
          <w:rFonts w:ascii="Arial" w:hAnsi="Arial" w:cs="Arial"/>
          <w:bCs/>
          <w:iCs/>
        </w:rPr>
        <w:t xml:space="preserve"> c.-690G&gt;C promoter variant, and the previously unreported </w:t>
      </w:r>
      <w:r>
        <w:rPr>
          <w:rFonts w:ascii="Arial" w:hAnsi="Arial" w:cs="Arial"/>
          <w:bCs/>
          <w:i/>
          <w:iCs/>
        </w:rPr>
        <w:t>CHST6</w:t>
      </w:r>
      <w:r>
        <w:rPr>
          <w:rFonts w:ascii="Arial" w:hAnsi="Arial" w:cs="Arial"/>
          <w:bCs/>
          <w:iCs/>
        </w:rPr>
        <w:t xml:space="preserve"> P280L mutation leads to decreased CGn6ST</w:t>
      </w:r>
      <w:r>
        <w:rPr>
          <w:rFonts w:ascii="Arial" w:hAnsi="Arial" w:cs="Arial"/>
          <w:bCs/>
        </w:rPr>
        <w:t xml:space="preserve">/CHST6 </w:t>
      </w:r>
      <w:r>
        <w:rPr>
          <w:rFonts w:ascii="Arial" w:hAnsi="Arial" w:cs="Arial"/>
          <w:bCs/>
          <w:iCs/>
        </w:rPr>
        <w:t>enzymatic activity in HK, similar to the previously reported Y268C mutation (</w:t>
      </w:r>
      <w:hyperlink w:anchor="fig4" w:history="1">
        <w:r>
          <w:rPr>
            <w:rStyle w:val="Hyperlink"/>
            <w:rFonts w:ascii="Arial" w:hAnsi="Arial" w:cs="Arial"/>
            <w:bCs/>
            <w:iCs/>
          </w:rPr>
          <w:t>Fig. 4</w:t>
        </w:r>
      </w:hyperlink>
      <w:r w:rsidRPr="00480E93">
        <w:rPr>
          <w:rFonts w:ascii="Arial" w:hAnsi="Arial" w:cs="Arial"/>
          <w:bCs/>
          <w:iCs/>
        </w:rPr>
        <w:t>B</w:t>
      </w:r>
      <w:r>
        <w:rPr>
          <w:rFonts w:ascii="Arial" w:hAnsi="Arial" w:cs="Arial"/>
          <w:bCs/>
          <w:iCs/>
        </w:rPr>
        <w:t>, C).</w:t>
      </w:r>
    </w:p>
    <w:p w14:paraId="1CB4D870" w14:textId="1E7442EC" w:rsidR="00656007" w:rsidRPr="0025612C" w:rsidRDefault="0025612C" w:rsidP="0025612C">
      <w:pPr>
        <w:pStyle w:val="Head2"/>
      </w:pPr>
      <w:r>
        <w:rPr>
          <w:rFonts w:ascii="Arial" w:hAnsi="Arial" w:cs="Arial"/>
          <w:bCs/>
          <w:iCs/>
        </w:rPr>
        <w:t>CHST6 c.-690G&gt;C induced increase of sulfated and unsulfated KS is restricted to Descemet membrane and corneal endothelium</w:t>
      </w:r>
    </w:p>
    <w:p w14:paraId="628C33BE" w14:textId="16F668E2" w:rsidR="00FE50C9" w:rsidRPr="0025612C" w:rsidRDefault="0025612C" w:rsidP="0025612C">
      <w:pPr>
        <w:pStyle w:val="Para"/>
      </w:pPr>
      <w:r>
        <w:rPr>
          <w:rFonts w:ascii="Arial" w:hAnsi="Arial" w:cs="Arial"/>
          <w:bCs/>
          <w:iCs/>
        </w:rPr>
        <w:t>To investigate whether the aberrant overexpression of 5D4+ KS was the cause of corneal endothelial changes observed in affected individuals in our case series, we performed immunohistochemical staining of three DM samples collected during DMEK surgery of probands of Families A, C and F. A full thickness donor cornea and a DM sample from an individual with pseudophakic corneal edema (PCE) were included as controls. Staining performed included H&amp;E staining, immunofluorescence staining with 5D4 antibody for highly sulfated KS, FITC conjugated Lectin (Lectin-FITC) for non-sulfated KS, Alcian Blue staining for non-sulfated KS and High Iron Diamine (HID) staining for low sulfated KS (</w:t>
      </w:r>
      <w:hyperlink w:anchor="fig5" w:history="1">
        <w:r>
          <w:rPr>
            <w:rStyle w:val="Hyperlink"/>
            <w:rFonts w:ascii="Arial" w:hAnsi="Arial" w:cs="Arial"/>
            <w:bCs/>
            <w:iCs/>
          </w:rPr>
          <w:t>Fig. 5</w:t>
        </w:r>
      </w:hyperlink>
      <w:r>
        <w:rPr>
          <w:rFonts w:ascii="Arial" w:hAnsi="Arial" w:cs="Arial"/>
          <w:bCs/>
          <w:iCs/>
        </w:rPr>
        <w:t>). On H&amp;E staining, the DM samples from the three probands showed various degrees of DM thickening and dystrophic appearing cornea endothelial cells, with areas devoid of cells. Immunofluorescence staining with the 5D4 antibody revealed increased staining of 5D4+ KS throughout the full thickness of DM in the three probands, displaying a lamellated appearance compared to controls. This lamellated appearance suggested that 5D4+ KS was continuously deposited by the corneal endothelial cells over time. Lectin-FITC staining was also increased in the DM samples from the three probands compared to the controls,</w:t>
      </w:r>
      <w:r w:rsidRPr="0025612C" w:rsidDel="00D62166">
        <w:rPr>
          <w:rFonts w:ascii="Arial" w:hAnsi="Arial" w:cs="Arial"/>
          <w:bCs/>
          <w:iCs/>
        </w:rPr>
        <w:t xml:space="preserve"> </w:t>
      </w:r>
      <w:r>
        <w:rPr>
          <w:rFonts w:ascii="Arial" w:hAnsi="Arial" w:cs="Arial"/>
          <w:bCs/>
          <w:iCs/>
        </w:rPr>
        <w:t>with a laminated appearance throughout the thickness of DM, particularly in the posterior zone/layers closer to the corneal endothelium. A tumor tissue sample with neovascularization included as a positive control for Lectin-FITC demonstrated staining of blood vessel basement membranes. Alcian Blue staining demonstrated positive staining primarily in the posterior zone/layers of the DM and in the cytoplasm of the remaining corneal endothelial cells in the three DM samples. In contrast, control samples showed no Alcian Blue staining of the DM or corneal endothelium. A sample of human colon adenocarcinoma included as a positive control showed Alcian blue positive mucus droplets within colon epithelial cells. HID staining was observed in corneal endothelial cells and/or in protruding nodules on the posterior surface of DM in the three DM samples, whereas no HID staining was observed in controls, suggesting that the gray deposits on the posterior aspect of the peripheral cornea observed clinically may consist of low sulfated KS. A sample of healthy murine colon epithelium included as positive control for HID staining demonstrated dark brown HID-stained mucus droplets within the colon epithelial cells.</w:t>
      </w:r>
    </w:p>
    <w:p w14:paraId="0A48A2C3" w14:textId="07AA8396" w:rsidR="00FE50C9" w:rsidRPr="0025612C" w:rsidRDefault="0025612C" w:rsidP="0025612C">
      <w:pPr>
        <w:pStyle w:val="Para"/>
      </w:pPr>
      <w:r>
        <w:rPr>
          <w:rFonts w:ascii="Arial" w:hAnsi="Arial" w:cs="Arial"/>
          <w:bCs/>
          <w:iCs/>
        </w:rPr>
        <w:t xml:space="preserve">To evaluate the impact of the </w:t>
      </w:r>
      <w:r>
        <w:rPr>
          <w:rFonts w:ascii="Arial" w:hAnsi="Arial" w:cs="Arial"/>
          <w:bCs/>
          <w:i/>
          <w:iCs/>
        </w:rPr>
        <w:t xml:space="preserve">CHST6 </w:t>
      </w:r>
      <w:r>
        <w:rPr>
          <w:rFonts w:ascii="Arial" w:hAnsi="Arial" w:cs="Arial"/>
          <w:bCs/>
          <w:iCs/>
        </w:rPr>
        <w:t>c.-690G&gt;C mutation on systemic KS sulfation and metabolism, serum and/or DBS were collected from affected and unaffected members of 6 of 7 families (</w:t>
      </w:r>
      <w:hyperlink w:anchor="fig1" w:history="1">
        <w:r>
          <w:rPr>
            <w:rStyle w:val="Hyperlink"/>
            <w:rFonts w:ascii="Arial" w:hAnsi="Arial" w:cs="Arial"/>
            <w:bCs/>
            <w:iCs/>
          </w:rPr>
          <w:t>Fig. 1</w:t>
        </w:r>
      </w:hyperlink>
      <w:r>
        <w:rPr>
          <w:rFonts w:ascii="Arial" w:hAnsi="Arial" w:cs="Arial"/>
          <w:bCs/>
          <w:iCs/>
        </w:rPr>
        <w:t xml:space="preserve">). Control samples included serum samples from four healthy individuals, the unrelated spouse of the proband in Family E, and two individuals with fleck corneal dystrophy. The levels of di-sulfated KS, mono-sulfated KS, total sulfated KS (di-sulfated KS + mono-sulfated KS), dermatan sulfate (DS), and heparan sulfate (HS) from serum samples and DBS samples for each individual are presented in </w:t>
      </w:r>
      <w:hyperlink w:anchor="tb3" w:history="1">
        <w:r>
          <w:rPr>
            <w:rStyle w:val="Hyperlink"/>
            <w:rFonts w:ascii="Arial" w:hAnsi="Arial" w:cs="Arial"/>
            <w:bCs/>
            <w:iCs/>
          </w:rPr>
          <w:t>Tables 3</w:t>
        </w:r>
      </w:hyperlink>
      <w:r>
        <w:rPr>
          <w:rFonts w:ascii="Arial" w:hAnsi="Arial" w:cs="Arial"/>
          <w:bCs/>
          <w:iCs/>
        </w:rPr>
        <w:t xml:space="preserve"> and </w:t>
      </w:r>
      <w:hyperlink w:anchor="tb4" w:history="1">
        <w:r w:rsidRPr="00480E93">
          <w:rPr>
            <w:rStyle w:val="Hyperlink"/>
            <w:rFonts w:ascii="Arial" w:hAnsi="Arial" w:cs="Arial"/>
            <w:bCs/>
            <w:iCs/>
          </w:rPr>
          <w:t>4</w:t>
        </w:r>
      </w:hyperlink>
      <w:r>
        <w:rPr>
          <w:rFonts w:ascii="Arial" w:hAnsi="Arial" w:cs="Arial"/>
          <w:bCs/>
          <w:iCs/>
        </w:rPr>
        <w:t>, respectively. Adjusted DBS measurements were provided for ease of comparison with serum sample measurements, based on a previously published method.</w:t>
      </w:r>
      <w:hyperlink w:anchor="bib13" w:history="1">
        <w:r>
          <w:rPr>
            <w:rStyle w:val="Hyperlink"/>
            <w:rFonts w:ascii="Arial" w:hAnsi="Arial" w:cs="Arial"/>
            <w:bCs/>
            <w:iCs/>
            <w:noProof/>
            <w:vertAlign w:val="superscript"/>
          </w:rPr>
          <w:t>13</w:t>
        </w:r>
      </w:hyperlink>
      <w:r>
        <w:rPr>
          <w:rFonts w:ascii="Arial" w:hAnsi="Arial" w:cs="Arial"/>
          <w:bCs/>
          <w:iCs/>
        </w:rPr>
        <w:t xml:space="preserve"> The blood sulfated KS levels in most of the individuals examined, affected or unaffected, were within the range of sulfated KS levels found in health controls.</w:t>
      </w:r>
    </w:p>
    <w:p w14:paraId="43EB785D" w14:textId="7C458EF8" w:rsidR="00FE50C9" w:rsidRPr="0025612C" w:rsidRDefault="0025612C" w:rsidP="0025612C">
      <w:pPr>
        <w:pStyle w:val="Para"/>
      </w:pPr>
      <w:r>
        <w:rPr>
          <w:rFonts w:ascii="Arial" w:hAnsi="Arial" w:cs="Arial"/>
          <w:bCs/>
          <w:iCs/>
        </w:rPr>
        <w:t xml:space="preserve">The above data suggested that the aberrant overexpression of 5D4+ high sulfated KS induced by the </w:t>
      </w:r>
      <w:r>
        <w:rPr>
          <w:rFonts w:ascii="Arial" w:hAnsi="Arial" w:cs="Arial"/>
          <w:bCs/>
          <w:i/>
          <w:iCs/>
        </w:rPr>
        <w:t xml:space="preserve">CHST6 c.-690G&gt;C </w:t>
      </w:r>
      <w:r>
        <w:rPr>
          <w:rFonts w:ascii="Arial" w:hAnsi="Arial" w:cs="Arial"/>
          <w:bCs/>
        </w:rPr>
        <w:t>mutation</w:t>
      </w:r>
      <w:r w:rsidRPr="0025612C">
        <w:rPr>
          <w:rFonts w:ascii="Arial" w:hAnsi="Arial" w:cs="Arial"/>
          <w:bCs/>
          <w:i/>
          <w:iCs/>
        </w:rPr>
        <w:t xml:space="preserve"> </w:t>
      </w:r>
      <w:r>
        <w:rPr>
          <w:rFonts w:ascii="Arial" w:hAnsi="Arial" w:cs="Arial"/>
          <w:bCs/>
          <w:iCs/>
        </w:rPr>
        <w:t>was restricted to the corneal endothelium and DM in the corneas of affected individuals. Additionally, low-sulfated KS and non-sulfated KS were overexpressed in corneal endothelium and DM as well.</w:t>
      </w:r>
    </w:p>
    <w:p w14:paraId="3DBA427F" w14:textId="666EFC64" w:rsidR="00254617" w:rsidRPr="0025612C" w:rsidRDefault="0025612C" w:rsidP="0025612C">
      <w:pPr>
        <w:pStyle w:val="Head2"/>
      </w:pPr>
      <w:r>
        <w:rPr>
          <w:rFonts w:ascii="Arial" w:hAnsi="Arial" w:cs="Arial"/>
          <w:bCs/>
          <w:iCs/>
        </w:rPr>
        <w:t>CHST6 c.-690G&gt;C is a pathogenic variant</w:t>
      </w:r>
    </w:p>
    <w:p w14:paraId="77D71F10" w14:textId="1562296E" w:rsidR="00FE50C9" w:rsidRPr="0025612C" w:rsidRDefault="0025612C" w:rsidP="0025612C">
      <w:pPr>
        <w:pStyle w:val="Para"/>
      </w:pPr>
      <w:r>
        <w:rPr>
          <w:rFonts w:ascii="Arial" w:hAnsi="Arial" w:cs="Arial"/>
          <w:bCs/>
          <w:iCs/>
        </w:rPr>
        <w:t>To determine the pathogenicity of the identified variants, we followed established guidelines published by American College of Medical Genetics and Genomics (ACMG), Association for Molecular Pathology (AMP) and UK Association for Clinical Genomic Science (ACGS). These guidelines include the 2015 ACMG-AMP variant interpretation guidelines for Mendelian disorders</w:t>
      </w:r>
      <w:hyperlink w:anchor="bib18" w:history="1">
        <w:r>
          <w:rPr>
            <w:rStyle w:val="Hyperlink"/>
            <w:rFonts w:ascii="Arial" w:hAnsi="Arial" w:cs="Arial"/>
            <w:bCs/>
            <w:iCs/>
            <w:noProof/>
            <w:vertAlign w:val="superscript"/>
          </w:rPr>
          <w:t>18</w:t>
        </w:r>
      </w:hyperlink>
      <w:r>
        <w:rPr>
          <w:rFonts w:ascii="Arial" w:hAnsi="Arial" w:cs="Arial"/>
          <w:bCs/>
          <w:iCs/>
        </w:rPr>
        <w:t>, the 2018 ACMG/AMP guideline update for PP5 and BP6 variants</w:t>
      </w:r>
      <w:hyperlink w:anchor="bib19" w:history="1">
        <w:r>
          <w:rPr>
            <w:rStyle w:val="Hyperlink"/>
            <w:rFonts w:ascii="Arial" w:hAnsi="Arial" w:cs="Arial"/>
            <w:bCs/>
            <w:iCs/>
            <w:noProof/>
            <w:vertAlign w:val="superscript"/>
          </w:rPr>
          <w:t>19</w:t>
        </w:r>
      </w:hyperlink>
      <w:r>
        <w:rPr>
          <w:rFonts w:ascii="Arial" w:hAnsi="Arial" w:cs="Arial"/>
          <w:bCs/>
          <w:iCs/>
        </w:rPr>
        <w:t>, the Bayesian adaptation of the ACMG/AMP variant interpretation framework</w:t>
      </w:r>
      <w:hyperlink w:anchor="bib14" w:history="1">
        <w:r>
          <w:rPr>
            <w:rStyle w:val="Hyperlink"/>
            <w:rFonts w:ascii="Arial" w:hAnsi="Arial" w:cs="Arial"/>
            <w:bCs/>
            <w:iCs/>
            <w:noProof/>
            <w:vertAlign w:val="superscript"/>
          </w:rPr>
          <w:t>14</w:t>
        </w:r>
      </w:hyperlink>
      <w:r>
        <w:rPr>
          <w:rFonts w:ascii="Arial" w:hAnsi="Arial" w:cs="Arial"/>
          <w:bCs/>
          <w:iCs/>
        </w:rPr>
        <w:t>, the 2020 ACMG/AMP guideline update for PS3/BS3 criterion</w:t>
      </w:r>
      <w:hyperlink w:anchor="bib20" w:history="1">
        <w:r>
          <w:rPr>
            <w:rStyle w:val="Hyperlink"/>
            <w:rFonts w:ascii="Arial" w:hAnsi="Arial" w:cs="Arial"/>
            <w:bCs/>
            <w:iCs/>
            <w:noProof/>
            <w:vertAlign w:val="superscript"/>
          </w:rPr>
          <w:t>20</w:t>
        </w:r>
      </w:hyperlink>
      <w:r>
        <w:rPr>
          <w:rFonts w:ascii="Arial" w:hAnsi="Arial" w:cs="Arial"/>
          <w:bCs/>
          <w:iCs/>
        </w:rPr>
        <w:t>, and the 2022 ACGS variant interpretation guidelines for non-coding variants.</w:t>
      </w:r>
      <w:hyperlink w:anchor="bib21" w:history="1">
        <w:r>
          <w:rPr>
            <w:rStyle w:val="Hyperlink"/>
            <w:rFonts w:ascii="Arial" w:hAnsi="Arial" w:cs="Arial"/>
            <w:bCs/>
            <w:iCs/>
            <w:noProof/>
            <w:vertAlign w:val="superscript"/>
          </w:rPr>
          <w:t>21</w:t>
        </w:r>
      </w:hyperlink>
      <w:r>
        <w:rPr>
          <w:rFonts w:ascii="Arial" w:hAnsi="Arial" w:cs="Arial"/>
          <w:bCs/>
          <w:iCs/>
        </w:rPr>
        <w:t xml:space="preserve"> 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w:t>
      </w:r>
      <w:hyperlink w:anchor="tb5" w:history="1">
        <w:r>
          <w:rPr>
            <w:rStyle w:val="Hyperlink"/>
            <w:rFonts w:ascii="Arial" w:hAnsi="Arial" w:cs="Arial"/>
            <w:bCs/>
            <w:iCs/>
          </w:rPr>
          <w:t>Table 5</w:t>
        </w:r>
      </w:hyperlink>
      <w:r>
        <w:rPr>
          <w:rFonts w:ascii="Arial" w:hAnsi="Arial" w:cs="Arial"/>
          <w:bCs/>
          <w:iCs/>
        </w:rPr>
        <w:t>).</w:t>
      </w:r>
    </w:p>
    <w:p w14:paraId="3134F36D" w14:textId="45A07A7F" w:rsidR="004C52FA" w:rsidRPr="0025612C" w:rsidRDefault="0025612C" w:rsidP="0025612C">
      <w:pPr>
        <w:pStyle w:val="Head1"/>
      </w:pPr>
      <w:r>
        <w:rPr>
          <w:rFonts w:ascii="Arial" w:hAnsi="Arial" w:cs="Arial"/>
        </w:rPr>
        <w:t>DISCUSSION</w:t>
      </w:r>
    </w:p>
    <w:p w14:paraId="24A4BB3B" w14:textId="062E6150" w:rsidR="00FE50C9" w:rsidRPr="0025612C" w:rsidRDefault="0025612C" w:rsidP="0025612C">
      <w:pPr>
        <w:pStyle w:val="Para"/>
      </w:pPr>
      <w:r>
        <w:rPr>
          <w:rFonts w:ascii="Arial" w:hAnsi="Arial" w:cs="Arial"/>
        </w:rPr>
        <w:t xml:space="preserve">This study details the clinical, histopathologic, immunohistochemical and genetic features of a </w:t>
      </w:r>
      <w:r>
        <w:rPr>
          <w:rFonts w:ascii="Arial" w:hAnsi="Arial" w:cs="Arial"/>
          <w:i/>
          <w:iCs/>
        </w:rPr>
        <w:t>CHST6</w:t>
      </w:r>
      <w:r>
        <w:rPr>
          <w:rFonts w:ascii="Arial" w:hAnsi="Arial" w:cs="Arial"/>
        </w:rPr>
        <w:t>-associated corneal endothelial dystrophy affecting seven unrelated families from Vietnam and Thailand. The clinical presentation of this corneal endothelial dystrophy is distinct from previously described corneal endothelial dystrophies, namely Fuchs endothelial corneal dystrophy, congenital hereditary endothelial dystrophy, posterior polymorphous corneal dystrophy and x-linked endothelial corneal dystrophy. We suggest the name Peripheral macular endothelial dystrophy (PMED) to describe this dystrophy, given the similar appearance of the peripheral gray-white deposits observed in PMED to those observed in MCD. However, this dystrophy is sufficiently distinct from MCD in terms of clinical features, surgical management, genetic basis, and the functional impact of associated mutations to be considered as unique corneal dystrophy.</w:t>
      </w:r>
    </w:p>
    <w:p w14:paraId="0E4081AC" w14:textId="2FB3AB39" w:rsidR="00FE50C9" w:rsidRPr="0025612C" w:rsidRDefault="0025612C" w:rsidP="0025612C">
      <w:pPr>
        <w:pStyle w:val="Para"/>
      </w:pPr>
      <w:r>
        <w:rPr>
          <w:rFonts w:ascii="Arial" w:hAnsi="Arial" w:cs="Arial"/>
        </w:rPr>
        <w:t>In terms of the clinical features, individuals with PMED initially present with discrete gray-white deposits on the posterior aspect of the peripheral cornea, without stromal haze, stromal opacities or associated visual symptoms. The peripheral deposits slowly increase in size and number, extending in some individuals into the mid-peripheral cornea. Subsequently, epithelial and/or stromal corneal edema can develop, which can be successfully managed with endothelial keratoplasty.</w:t>
      </w:r>
    </w:p>
    <w:p w14:paraId="3CF58DB0" w14:textId="40B3FF9F" w:rsidR="00FE50C9" w:rsidRPr="0025612C" w:rsidRDefault="0025612C" w:rsidP="0025612C">
      <w:pPr>
        <w:pStyle w:val="Para"/>
      </w:pPr>
      <w:r>
        <w:rPr>
          <w:rFonts w:ascii="Arial" w:hAnsi="Arial" w:cs="Arial"/>
        </w:rPr>
        <w:t xml:space="preserve">Similar to MCD, PMED is associated with promoter and coding region mutations in </w:t>
      </w:r>
      <w:r>
        <w:rPr>
          <w:rFonts w:ascii="Arial" w:hAnsi="Arial" w:cs="Arial"/>
          <w:i/>
          <w:iCs/>
        </w:rPr>
        <w:t>CHST6</w:t>
      </w:r>
      <w:r>
        <w:rPr>
          <w:rFonts w:ascii="Arial" w:hAnsi="Arial" w:cs="Arial"/>
        </w:rPr>
        <w:t xml:space="preserve">. </w:t>
      </w:r>
      <w:r>
        <w:rPr>
          <w:rFonts w:ascii="Arial" w:hAnsi="Arial" w:cs="Arial"/>
          <w:bCs/>
          <w:iCs/>
        </w:rPr>
        <w:t>Identified coding region mutations, p.Tyr268Cys (Y268C) and p.Arg211Gln (R211Q), have been previously reported to be associated with MCD,</w:t>
      </w:r>
      <w:r>
        <w:rPr>
          <w:rFonts w:ascii="Arial" w:hAnsi="Arial" w:cs="Arial"/>
          <w:bCs/>
        </w:rPr>
        <w:t xml:space="preserve"> suggesting</w:t>
      </w:r>
      <w:r>
        <w:rPr>
          <w:rFonts w:ascii="Arial" w:hAnsi="Arial" w:cs="Arial"/>
          <w:bCs/>
          <w:iCs/>
        </w:rPr>
        <w:t xml:space="preserve"> these two coding mutations lead to decreased CGn6ST/CHST6 enzymatic activity.</w:t>
      </w:r>
      <w:hyperlink w:anchor="bib22" w:history="1">
        <w:r>
          <w:rPr>
            <w:rStyle w:val="Hyperlink"/>
            <w:rFonts w:ascii="Arial" w:hAnsi="Arial" w:cs="Arial"/>
            <w:bCs/>
            <w:noProof/>
            <w:vertAlign w:val="superscript"/>
          </w:rPr>
          <w:t>22</w:t>
        </w:r>
      </w:hyperlink>
      <w:r w:rsidRPr="0025612C">
        <w:rPr>
          <w:rFonts w:ascii="Arial" w:hAnsi="Arial" w:cs="Arial"/>
        </w:rPr>
        <w:t xml:space="preserve"> </w:t>
      </w:r>
      <w:hyperlink w:anchor="bib23" w:history="1">
        <w:r>
          <w:rPr>
            <w:rStyle w:val="Hyperlink"/>
            <w:rFonts w:ascii="Arial" w:hAnsi="Arial" w:cs="Arial"/>
            <w:bCs/>
            <w:noProof/>
            <w:vertAlign w:val="superscript"/>
          </w:rPr>
          <w:t>23</w:t>
        </w:r>
      </w:hyperlink>
      <w:r w:rsidRPr="0025612C">
        <w:rPr>
          <w:rFonts w:ascii="Arial" w:hAnsi="Arial" w:cs="Arial"/>
          <w:bCs/>
        </w:rPr>
        <w:t xml:space="preserve"> </w:t>
      </w:r>
      <w:r>
        <w:rPr>
          <w:rFonts w:ascii="Arial" w:hAnsi="Arial" w:cs="Arial"/>
          <w:bCs/>
          <w:iCs/>
        </w:rPr>
        <w:t xml:space="preserve">However, p.Pro280Leu (P280L) is novel and has not been associated with MCD. </w:t>
      </w:r>
      <w:r>
        <w:rPr>
          <w:rFonts w:ascii="Arial" w:hAnsi="Arial" w:cs="Arial"/>
        </w:rPr>
        <w:t xml:space="preserve">In each of the seven families that we describe, the rare </w:t>
      </w:r>
      <w:r>
        <w:rPr>
          <w:rFonts w:ascii="Arial" w:hAnsi="Arial" w:cs="Arial"/>
          <w:i/>
          <w:iCs/>
        </w:rPr>
        <w:t>CHST6</w:t>
      </w:r>
      <w:r>
        <w:rPr>
          <w:rFonts w:ascii="Arial" w:hAnsi="Arial" w:cs="Arial"/>
        </w:rPr>
        <w:t xml:space="preserve"> promoter mutation c.-690G&gt;C, not previously associated with MCD, was identified in either </w:t>
      </w:r>
      <w:r>
        <w:rPr>
          <w:rFonts w:ascii="Arial" w:hAnsi="Arial" w:cs="Arial"/>
          <w:bCs/>
          <w:iCs/>
        </w:rPr>
        <w:t>the homozygous or compound heterozygous state</w:t>
      </w:r>
      <w:r>
        <w:rPr>
          <w:rFonts w:ascii="Arial" w:hAnsi="Arial" w:cs="Arial"/>
        </w:rPr>
        <w:t xml:space="preserve">. </w:t>
      </w:r>
      <w:r>
        <w:rPr>
          <w:rFonts w:ascii="Arial" w:hAnsi="Arial" w:cs="Arial"/>
          <w:i/>
          <w:iCs/>
        </w:rPr>
        <w:t>In silico</w:t>
      </w:r>
      <w:r>
        <w:rPr>
          <w:rFonts w:ascii="Arial" w:hAnsi="Arial" w:cs="Arial"/>
        </w:rPr>
        <w:t xml:space="preserve"> analysis suggests that </w:t>
      </w:r>
      <w:r>
        <w:rPr>
          <w:rFonts w:ascii="Arial" w:hAnsi="Arial" w:cs="Arial"/>
          <w:i/>
          <w:iCs/>
        </w:rPr>
        <w:t>CHST6</w:t>
      </w:r>
      <w:r>
        <w:rPr>
          <w:rFonts w:ascii="Arial" w:hAnsi="Arial" w:cs="Arial"/>
        </w:rPr>
        <w:t xml:space="preserve"> c.-690G&gt;C is located at the binding site of RNA polymerase II in the </w:t>
      </w:r>
      <w:r>
        <w:rPr>
          <w:rFonts w:ascii="Arial" w:hAnsi="Arial" w:cs="Arial"/>
          <w:i/>
          <w:iCs/>
        </w:rPr>
        <w:t>CHST6</w:t>
      </w:r>
      <w:r>
        <w:rPr>
          <w:rFonts w:ascii="Arial" w:hAnsi="Arial" w:cs="Arial"/>
        </w:rPr>
        <w:t xml:space="preserve"> promoter. In vitro functional analysis, together with DM histological findings and serum KS measurement, suggest that the c.-690G&gt;C mutation, either in the homozygous state or in the compound heterozygous state with another </w:t>
      </w:r>
      <w:r>
        <w:rPr>
          <w:rFonts w:ascii="Arial" w:hAnsi="Arial" w:cs="Arial"/>
          <w:i/>
          <w:iCs/>
        </w:rPr>
        <w:t>CHST6</w:t>
      </w:r>
      <w:r>
        <w:rPr>
          <w:rFonts w:ascii="Arial" w:hAnsi="Arial" w:cs="Arial"/>
        </w:rPr>
        <w:t xml:space="preserve"> coding mutation, leads to increased CGn6ST-mediated sulfation of KS only in the corneal endothelium and minimally affects the CGn6ST enzyme activity in keratocytes and other somatic cell types. Additionally, our data suggests that </w:t>
      </w:r>
      <w:r>
        <w:rPr>
          <w:rFonts w:ascii="Arial" w:hAnsi="Arial" w:cs="Arial"/>
          <w:i/>
          <w:iCs/>
        </w:rPr>
        <w:t>CHST6</w:t>
      </w:r>
      <w:r>
        <w:rPr>
          <w:rFonts w:ascii="Arial" w:hAnsi="Arial" w:cs="Arial"/>
        </w:rPr>
        <w:t xml:space="preserve"> c.-690G&gt;C in the heterozygous state may be sufficient to cause disease, given the observation of a few peripheral deposits without corneal edema in a heterozygous individual and the in vitro functional analysis of c.-690G&gt;C in heterozygous state demonstrating increased CGn6ST-mediated KS sulfation in corneal endothelial cells. The distinct functional effects of </w:t>
      </w:r>
      <w:r>
        <w:rPr>
          <w:rFonts w:ascii="Arial" w:hAnsi="Arial" w:cs="Arial"/>
          <w:i/>
          <w:iCs/>
        </w:rPr>
        <w:t>CHST6</w:t>
      </w:r>
      <w:r>
        <w:rPr>
          <w:rFonts w:ascii="Arial" w:hAnsi="Arial" w:cs="Arial"/>
        </w:rPr>
        <w:t xml:space="preserve"> c.-690G&gt;C in corneal endothelial cells versus in keratocytes and other somatic cell types may be related to the variability of enhancer and promoter usage across tissues and the highly tissue-specific effects of non-coding variants. Because of such tissue-specific effects, the 2022 ACGS variant interpretation guidelines for non-coding variants</w:t>
      </w:r>
      <w:hyperlink w:anchor="bib21" w:history="1">
        <w:r>
          <w:rPr>
            <w:rStyle w:val="Hyperlink"/>
            <w:rFonts w:ascii="Arial" w:hAnsi="Arial" w:cs="Arial"/>
            <w:noProof/>
            <w:vertAlign w:val="superscript"/>
          </w:rPr>
          <w:t>21</w:t>
        </w:r>
      </w:hyperlink>
      <w:r>
        <w:rPr>
          <w:rFonts w:ascii="Arial" w:hAnsi="Arial" w:cs="Arial"/>
        </w:rPr>
        <w:t xml:space="preserve"> specified that functional assay(s) of identified non-coding variant(s) need to be performed in disease-relevant tissues or cell types. In our study, functional assays of identified </w:t>
      </w:r>
      <w:r>
        <w:rPr>
          <w:rFonts w:ascii="Arial" w:hAnsi="Arial" w:cs="Arial"/>
          <w:i/>
          <w:iCs/>
        </w:rPr>
        <w:t>CHST6</w:t>
      </w:r>
      <w:r>
        <w:rPr>
          <w:rFonts w:ascii="Arial" w:hAnsi="Arial" w:cs="Arial"/>
        </w:rPr>
        <w:t xml:space="preserve"> non-coding (c.-690G&gt;C) and coding (P280L and Y268C) mutations were performed in HCEnC and HK using the same outcome measurement – the level of 5D4 antibody labeled highly sulfated KS. While the functional assay showed decreased 5D4+ KS with the two </w:t>
      </w:r>
      <w:r>
        <w:rPr>
          <w:rFonts w:ascii="Arial" w:hAnsi="Arial" w:cs="Arial"/>
          <w:i/>
          <w:iCs/>
        </w:rPr>
        <w:t>CHST6</w:t>
      </w:r>
      <w:r>
        <w:rPr>
          <w:rFonts w:ascii="Arial" w:hAnsi="Arial" w:cs="Arial"/>
        </w:rPr>
        <w:t xml:space="preserve"> coding mutations in HK and no apparent change of already low 5D4+ KS in HCEnC, the assay also showed </w:t>
      </w:r>
      <w:r>
        <w:rPr>
          <w:rFonts w:ascii="Arial" w:hAnsi="Arial" w:cs="Arial"/>
          <w:i/>
          <w:iCs/>
        </w:rPr>
        <w:t>CHST6</w:t>
      </w:r>
      <w:r>
        <w:rPr>
          <w:rFonts w:ascii="Arial" w:hAnsi="Arial" w:cs="Arial"/>
        </w:rPr>
        <w:t xml:space="preserve"> c.-690G&gt;C enhanced 5D4+ KS in HCEnC with no apparent effect in HK. These results provided strong evidence of the differential functional consequences of </w:t>
      </w:r>
      <w:r>
        <w:rPr>
          <w:rFonts w:ascii="Arial" w:hAnsi="Arial" w:cs="Arial"/>
          <w:i/>
          <w:iCs/>
        </w:rPr>
        <w:t>CHST6</w:t>
      </w:r>
      <w:r>
        <w:rPr>
          <w:rFonts w:ascii="Arial" w:hAnsi="Arial" w:cs="Arial"/>
        </w:rPr>
        <w:t xml:space="preserve"> c.-690G&gt;C in keratocytes compared to corneal endothelium.</w:t>
      </w:r>
    </w:p>
    <w:p w14:paraId="210A8D65" w14:textId="4AEEBC11" w:rsidR="00FE50C9" w:rsidRPr="00480E93" w:rsidRDefault="0025612C" w:rsidP="0025612C">
      <w:pPr>
        <w:pStyle w:val="Para"/>
      </w:pPr>
      <w:r>
        <w:rPr>
          <w:rFonts w:ascii="Arial" w:hAnsi="Arial" w:cs="Arial"/>
        </w:rPr>
        <w:t xml:space="preserve">To the best of our knowledge, there have been three publications describing two individual cases and a family with peripheral gray-white macular deposits at the level of DM. Chaurasia </w:t>
      </w:r>
      <w:r>
        <w:rPr>
          <w:rFonts w:ascii="Arial" w:hAnsi="Arial" w:cs="Arial"/>
          <w:i/>
          <w:iCs/>
        </w:rPr>
        <w:t>et al.</w:t>
      </w:r>
      <w:r>
        <w:rPr>
          <w:rFonts w:ascii="Arial" w:hAnsi="Arial" w:cs="Arial"/>
        </w:rPr>
        <w:t xml:space="preserve"> described a 67-year-old Indian woman who presented with corneal edema, guttae and bilateral deposits at DM, scattered circumferentially in the peripheral cornea.</w:t>
      </w:r>
      <w:hyperlink w:anchor="bib24" w:history="1">
        <w:r>
          <w:rPr>
            <w:rStyle w:val="Hyperlink"/>
            <w:rFonts w:ascii="Arial" w:hAnsi="Arial" w:cs="Arial"/>
            <w:noProof/>
            <w:vertAlign w:val="superscript"/>
          </w:rPr>
          <w:t>24</w:t>
        </w:r>
      </w:hyperlink>
      <w:r>
        <w:rPr>
          <w:rFonts w:ascii="Arial" w:hAnsi="Arial" w:cs="Arial"/>
        </w:rPr>
        <w:t xml:space="preserve"> After a clinical diagnosis of macular corneal dystrophy was made, without genetic confirmation, Descemet stripping endothelial keratoplasty (DSEK) was performed in the left eye, with improvement of 20/50 preoperative visual acuity to 20/30. Histological examination in the excised DM demonstrated Alcian blue-positive endothelial cells, consistent with the findings in the DM from the three probands that we report. We previously described a 68-year-old Chinese man with bilateral clear corneas, except for peripheral round gray-white discrete deposits at the level of DM. Both eyes exhibited decreased central corneal thickness and normal endothelial cell densities. </w:t>
      </w:r>
      <w:r>
        <w:rPr>
          <w:rFonts w:ascii="Arial" w:hAnsi="Arial" w:cs="Arial"/>
          <w:i/>
          <w:iCs/>
        </w:rPr>
        <w:t>CHST6</w:t>
      </w:r>
      <w:r>
        <w:rPr>
          <w:rFonts w:ascii="Arial" w:hAnsi="Arial" w:cs="Arial"/>
        </w:rPr>
        <w:t xml:space="preserve"> screening in this individual demonstrated two compound heterozygous mutations </w:t>
      </w:r>
      <w:r>
        <w:rPr>
          <w:rFonts w:ascii="Arial" w:hAnsi="Arial" w:cs="Arial"/>
          <w:i/>
          <w:iCs/>
        </w:rPr>
        <w:t>in trans</w:t>
      </w:r>
      <w:r>
        <w:rPr>
          <w:rFonts w:ascii="Arial" w:hAnsi="Arial" w:cs="Arial"/>
        </w:rPr>
        <w:t xml:space="preserve"> configuration: c.-26C&gt;A, a non-coding mutation in exon 2 that created a new upstream open reading frame (uORF’), predicted to attenuate translation efficiency of the downstream main ORF; and c.803A&gt;G, p.(Tyr268Cys), which is the same mutation identified in Family C that we report. Serum KS levels were reduced compared to age-matched controls, leading us to conclude that the diagnosis in this case was macular corneal dystrophy type II.</w:t>
      </w:r>
      <w:hyperlink w:anchor="bib25" w:history="1">
        <w:r>
          <w:rPr>
            <w:rStyle w:val="Hyperlink"/>
            <w:rFonts w:ascii="Arial" w:hAnsi="Arial" w:cs="Arial"/>
            <w:noProof/>
            <w:vertAlign w:val="superscript"/>
          </w:rPr>
          <w:t>25</w:t>
        </w:r>
      </w:hyperlink>
      <w:r>
        <w:rPr>
          <w:rFonts w:ascii="Arial" w:hAnsi="Arial" w:cs="Arial"/>
        </w:rPr>
        <w:t xml:space="preserve"> However, when we performed an in vitro cell-based assay of the compound heterozygous mutations identified in this individual, we observed increased sulfated KS compared to wild type in HCEnC but no effect in HK (Supplemental Fig. 2), similar to that observed with </w:t>
      </w:r>
      <w:r>
        <w:rPr>
          <w:rFonts w:ascii="Arial" w:hAnsi="Arial" w:cs="Arial"/>
          <w:i/>
          <w:iCs/>
        </w:rPr>
        <w:t>CHST6</w:t>
      </w:r>
      <w:r>
        <w:rPr>
          <w:rFonts w:ascii="Arial" w:hAnsi="Arial" w:cs="Arial"/>
        </w:rPr>
        <w:t xml:space="preserve"> c.-690G&gt;C</w:t>
      </w:r>
      <w:r>
        <w:rPr>
          <w:rFonts w:ascii="Arial" w:hAnsi="Arial" w:cs="Arial"/>
          <w:i/>
          <w:iCs/>
        </w:rPr>
        <w:t xml:space="preserve">. </w:t>
      </w:r>
      <w:r>
        <w:rPr>
          <w:rFonts w:ascii="Arial" w:hAnsi="Arial" w:cs="Arial"/>
        </w:rPr>
        <w:t xml:space="preserve">Given this, and the absence of macular stromal deposits and diffuse stromal haze that are essential phenotypic features of MCD, we now believe that this individual more likely has PMED. Ye </w:t>
      </w:r>
      <w:r>
        <w:rPr>
          <w:rFonts w:ascii="Arial" w:hAnsi="Arial" w:cs="Arial"/>
          <w:i/>
          <w:iCs/>
        </w:rPr>
        <w:t>et al.</w:t>
      </w:r>
      <w:r>
        <w:rPr>
          <w:rFonts w:ascii="Arial" w:hAnsi="Arial" w:cs="Arial"/>
        </w:rPr>
        <w:t xml:space="preserve"> described a Chinese pedigree consisting of 13 members across 3 generations, including 6 affected individuals, showing an autosomal dominant inheritance pattern.</w:t>
      </w:r>
      <w:hyperlink w:anchor="bib26" w:history="1">
        <w:r>
          <w:rPr>
            <w:rStyle w:val="Hyperlink"/>
            <w:rFonts w:ascii="Arial" w:hAnsi="Arial" w:cs="Arial"/>
            <w:noProof/>
            <w:vertAlign w:val="superscript"/>
          </w:rPr>
          <w:t>26</w:t>
        </w:r>
      </w:hyperlink>
      <w:r>
        <w:rPr>
          <w:rFonts w:ascii="Arial" w:hAnsi="Arial" w:cs="Arial"/>
        </w:rPr>
        <w:t xml:space="preserve"> The average age of disease onset was 16.5 years of age, and affected members demonstrated progressive enlargement and coalescence of white translucent spots initially confined to the peripheral DM with subsequent involvement of the central DM, with the development of endothelial decompensation, manifest by corneal epithelial and stromal edema, in some individuals. While the reported clinical features of this pedigree are similar to those of PMED, the authors identified a heterozygous </w:t>
      </w:r>
      <w:r>
        <w:rPr>
          <w:rFonts w:ascii="Arial" w:hAnsi="Arial" w:cs="Arial"/>
          <w:i/>
          <w:iCs/>
        </w:rPr>
        <w:t>KIAA1522</w:t>
      </w:r>
      <w:r>
        <w:rPr>
          <w:rFonts w:ascii="Arial" w:hAnsi="Arial" w:cs="Arial"/>
        </w:rPr>
        <w:t xml:space="preserve"> (c.1331G&gt;A) variant that segregated with affected status in the pedigree, indicating a distinct genetic basis from the families that we report.</w:t>
      </w:r>
      <w:hyperlink w:anchor="bib26" w:history="1">
        <w:r>
          <w:rPr>
            <w:rStyle w:val="Hyperlink"/>
            <w:rFonts w:ascii="Arial" w:hAnsi="Arial" w:cs="Arial"/>
            <w:noProof/>
            <w:vertAlign w:val="superscript"/>
          </w:rPr>
          <w:t>26</w:t>
        </w:r>
      </w:hyperlink>
    </w:p>
    <w:p w14:paraId="3CA234FC" w14:textId="10EB5710" w:rsidR="00FE50C9" w:rsidRPr="0025612C" w:rsidRDefault="0025612C" w:rsidP="0025612C">
      <w:pPr>
        <w:pStyle w:val="Para"/>
      </w:pPr>
      <w:r>
        <w:rPr>
          <w:rFonts w:ascii="Arial" w:hAnsi="Arial" w:cs="Arial"/>
        </w:rPr>
        <w:t>With the elucidation of the genetic basis of essentially all of the corneal dystrophies and the initiation of preclinical trials of gene therapy for selected corneal dystrophies, we propose to reconsider the classification system of the corneal dystrophies, with more emphasis placed on the genetic basis and less on the layer of the cornea that is primarily affected. The first FDA-approved gene therapy, Luxturna</w:t>
      </w:r>
      <w:r>
        <w:rPr>
          <w:rFonts w:ascii="Arial" w:hAnsi="Arial" w:cs="Arial"/>
          <w:vertAlign w:val="superscript"/>
        </w:rPr>
        <w:t>®</w:t>
      </w:r>
      <w:r>
        <w:rPr>
          <w:rFonts w:ascii="Arial" w:hAnsi="Arial" w:cs="Arial"/>
        </w:rPr>
        <w:t xml:space="preserve">, received approval with a genetic indication labeling “for the treatment of patients with confirmed biallelic </w:t>
      </w:r>
      <w:r>
        <w:rPr>
          <w:rFonts w:ascii="Arial" w:hAnsi="Arial" w:cs="Arial"/>
          <w:i/>
          <w:iCs/>
        </w:rPr>
        <w:t>RPE65</w:t>
      </w:r>
      <w:r>
        <w:rPr>
          <w:rFonts w:ascii="Arial" w:hAnsi="Arial" w:cs="Arial"/>
        </w:rPr>
        <w:t xml:space="preserve"> mutation-associated retinal dystrophy”.</w:t>
      </w:r>
      <w:hyperlink w:anchor="bib27" w:history="1">
        <w:r>
          <w:rPr>
            <w:rStyle w:val="Hyperlink"/>
            <w:rFonts w:ascii="Arial" w:hAnsi="Arial" w:cs="Arial"/>
            <w:noProof/>
            <w:vertAlign w:val="superscript"/>
          </w:rPr>
          <w:t>27</w:t>
        </w:r>
      </w:hyperlink>
      <w:r>
        <w:rPr>
          <w:rFonts w:ascii="Arial" w:hAnsi="Arial" w:cs="Arial"/>
        </w:rPr>
        <w:t xml:space="preserve"> This wording was selected primarily based on the observed variety of clinical diagnoses for </w:t>
      </w:r>
      <w:r>
        <w:rPr>
          <w:rFonts w:ascii="Arial" w:hAnsi="Arial" w:cs="Arial"/>
          <w:i/>
          <w:iCs/>
        </w:rPr>
        <w:t>RPE65</w:t>
      </w:r>
      <w:r>
        <w:rPr>
          <w:rFonts w:ascii="Arial" w:hAnsi="Arial" w:cs="Arial"/>
        </w:rPr>
        <w:t xml:space="preserve">-mediated inherited retinal diseases, despite common characteristic findings such as nyctalopia. Depending on the time of disease onset, severity, rate of progression and presenting phenotype, the most common diagnoses for </w:t>
      </w:r>
      <w:r>
        <w:rPr>
          <w:rFonts w:ascii="Arial" w:hAnsi="Arial" w:cs="Arial"/>
          <w:i/>
          <w:iCs/>
        </w:rPr>
        <w:t>RPE65</w:t>
      </w:r>
      <w:r>
        <w:rPr>
          <w:rFonts w:ascii="Arial" w:hAnsi="Arial" w:cs="Arial"/>
        </w:rPr>
        <w:t>-mediated inherited retinal diseases include Leber congenital amaurosis (LCA), early-onset severe retinal dystrophy (EOSRD), retinitis pigmentosa (RP), Fundus albipunctatus (FA) and others.</w:t>
      </w:r>
      <w:hyperlink w:anchor="bib28" w:history="1">
        <w:r>
          <w:rPr>
            <w:rStyle w:val="Hyperlink"/>
            <w:rFonts w:ascii="Arial" w:hAnsi="Arial" w:cs="Arial"/>
            <w:noProof/>
            <w:vertAlign w:val="superscript"/>
          </w:rPr>
          <w:t>28</w:t>
        </w:r>
      </w:hyperlink>
      <w:r w:rsidRPr="0025612C">
        <w:rPr>
          <w:rFonts w:ascii="Arial" w:hAnsi="Arial" w:cs="Arial"/>
          <w:noProof/>
          <w:vertAlign w:val="superscript"/>
        </w:rPr>
        <w:t>,</w:t>
      </w:r>
      <w:hyperlink w:anchor="bib29" w:history="1">
        <w:r>
          <w:rPr>
            <w:rStyle w:val="Hyperlink"/>
            <w:rFonts w:ascii="Arial" w:hAnsi="Arial" w:cs="Arial"/>
            <w:noProof/>
            <w:vertAlign w:val="superscript"/>
          </w:rPr>
          <w:t>29</w:t>
        </w:r>
      </w:hyperlink>
      <w:r>
        <w:rPr>
          <w:rFonts w:ascii="Arial" w:hAnsi="Arial" w:cs="Arial"/>
        </w:rPr>
        <w:t xml:space="preserve"> However, regardless of the clinical diagnosis, confirmation of biallelic </w:t>
      </w:r>
      <w:r>
        <w:rPr>
          <w:rFonts w:ascii="Arial" w:hAnsi="Arial" w:cs="Arial"/>
          <w:i/>
          <w:iCs/>
        </w:rPr>
        <w:t>RPE65</w:t>
      </w:r>
      <w:r>
        <w:rPr>
          <w:rFonts w:ascii="Arial" w:hAnsi="Arial" w:cs="Arial"/>
        </w:rPr>
        <w:t xml:space="preserve"> mutations is required for a patient to be eligible for Luxturna</w:t>
      </w:r>
      <w:r>
        <w:rPr>
          <w:rFonts w:ascii="Arial" w:hAnsi="Arial" w:cs="Arial"/>
          <w:vertAlign w:val="superscript"/>
        </w:rPr>
        <w:t xml:space="preserve">® </w:t>
      </w:r>
      <w:r>
        <w:rPr>
          <w:rFonts w:ascii="Arial" w:hAnsi="Arial" w:cs="Arial"/>
        </w:rPr>
        <w:t xml:space="preserve">gene therapy. Similarly, as the </w:t>
      </w:r>
      <w:r>
        <w:rPr>
          <w:rFonts w:ascii="Arial" w:hAnsi="Arial" w:cs="Arial"/>
          <w:i/>
          <w:iCs/>
        </w:rPr>
        <w:t>TGFBI</w:t>
      </w:r>
      <w:r>
        <w:rPr>
          <w:rFonts w:ascii="Arial" w:hAnsi="Arial" w:cs="Arial"/>
        </w:rPr>
        <w:t xml:space="preserve"> epithelial-stromal dystrophies demonstrate significant phenotypic heterogeneity and involve multiple layers of the cornea, they are more accurately classified and conceptualized using a molecular genetic rather than an anatomic construct. Given the fact that both MCD and PMED are associated with promoter and coding region mutations in </w:t>
      </w:r>
      <w:r>
        <w:rPr>
          <w:rFonts w:ascii="Arial" w:hAnsi="Arial" w:cs="Arial"/>
          <w:i/>
          <w:iCs/>
        </w:rPr>
        <w:t>CHST6</w:t>
      </w:r>
      <w:r>
        <w:rPr>
          <w:rFonts w:ascii="Arial" w:hAnsi="Arial" w:cs="Arial"/>
        </w:rPr>
        <w:t xml:space="preserve">, we propose that they should both be categorized as </w:t>
      </w:r>
      <w:r>
        <w:rPr>
          <w:rFonts w:ascii="Arial" w:hAnsi="Arial" w:cs="Arial"/>
          <w:i/>
          <w:iCs/>
        </w:rPr>
        <w:t>CHST6</w:t>
      </w:r>
      <w:r>
        <w:rPr>
          <w:rFonts w:ascii="Arial" w:hAnsi="Arial" w:cs="Arial"/>
        </w:rPr>
        <w:t>-associated corneal dystrophies. The shifting of the emphasis from variable phenotypic features to the invariant underlying genetic defects associated with the corneal dystrophies is a natural and necessary evolution as we enter the era of genetic therapy for corneal dystrophies.</w:t>
      </w:r>
    </w:p>
    <w:p w14:paraId="0BC56CE3" w14:textId="0BC1A712" w:rsidR="00C20010" w:rsidRPr="0025612C" w:rsidRDefault="0025612C" w:rsidP="0025612C">
      <w:pPr>
        <w:pStyle w:val="Head1"/>
      </w:pPr>
      <w:r>
        <w:rPr>
          <w:rFonts w:ascii="Arial" w:hAnsi="Arial" w:cs="Arial"/>
          <w:bCs/>
        </w:rPr>
        <w:t>AUTHOR CONTRIBUTIONS</w:t>
      </w:r>
    </w:p>
    <w:p w14:paraId="338E198F" w14:textId="7EFB8EB9" w:rsidR="00FB7CC4" w:rsidRPr="0025612C" w:rsidRDefault="0025612C" w:rsidP="0025612C">
      <w:pPr>
        <w:pStyle w:val="Para"/>
      </w:pPr>
      <w:r>
        <w:rPr>
          <w:rFonts w:ascii="Arial" w:hAnsi="Arial" w:cs="Arial"/>
          <w:b/>
          <w:bCs/>
        </w:rPr>
        <w:t>Wenlin Zhang</w:t>
      </w:r>
      <w:r>
        <w:rPr>
          <w:rFonts w:ascii="Arial" w:hAnsi="Arial" w:cs="Arial"/>
        </w:rPr>
        <w:t xml:space="preserve">: Conceptualization, Methodology, Formal Analysis, Investigation, Data Curation, Writing-Original Draft, Writing-Review &amp; editing, Visualization, Project Administration. </w:t>
      </w:r>
      <w:r>
        <w:rPr>
          <w:rFonts w:ascii="Arial" w:hAnsi="Arial" w:cs="Arial"/>
          <w:b/>
          <w:bCs/>
        </w:rPr>
        <w:t>Huong Duong</w:t>
      </w:r>
      <w:r>
        <w:rPr>
          <w:rFonts w:ascii="Arial" w:hAnsi="Arial" w:cs="Arial"/>
        </w:rPr>
        <w:t>: Conceptualization, Validation, Investigation, Data Curation, Writing-Review &amp; editing, Supervision, Project Administration.</w:t>
      </w:r>
      <w:r>
        <w:rPr>
          <w:rFonts w:ascii="Arial" w:hAnsi="Arial" w:cs="Arial"/>
          <w:b/>
          <w:bCs/>
        </w:rPr>
        <w:t xml:space="preserve"> Passara Jongkhajornpong</w:t>
      </w:r>
      <w:r>
        <w:rPr>
          <w:rFonts w:ascii="Arial" w:hAnsi="Arial" w:cs="Arial"/>
        </w:rPr>
        <w:t xml:space="preserve">: Conceptualization, Validation, Investigation, Data Curation, Writing-Review &amp; editing. </w:t>
      </w:r>
      <w:r>
        <w:rPr>
          <w:rFonts w:ascii="Arial" w:hAnsi="Arial" w:cs="Arial"/>
          <w:b/>
          <w:bCs/>
        </w:rPr>
        <w:t>Do Thi Thuy Hang:</w:t>
      </w:r>
      <w:r>
        <w:rPr>
          <w:rFonts w:ascii="Arial" w:hAnsi="Arial" w:cs="Arial"/>
        </w:rPr>
        <w:t xml:space="preserve"> Validation, Investigation, Data Curation. </w:t>
      </w:r>
      <w:r>
        <w:rPr>
          <w:rFonts w:ascii="Arial" w:hAnsi="Arial" w:cs="Arial"/>
          <w:b/>
          <w:bCs/>
        </w:rPr>
        <w:t>Huan Pham:</w:t>
      </w:r>
      <w:r>
        <w:rPr>
          <w:rFonts w:ascii="Arial" w:hAnsi="Arial" w:cs="Arial"/>
        </w:rPr>
        <w:t xml:space="preserve"> Validation, Investigation, Data Curation. </w:t>
      </w:r>
      <w:r>
        <w:rPr>
          <w:rFonts w:ascii="Arial" w:hAnsi="Arial" w:cs="Arial"/>
          <w:b/>
          <w:bCs/>
        </w:rPr>
        <w:t>Mai Nguyen:</w:t>
      </w:r>
      <w:r>
        <w:rPr>
          <w:rFonts w:ascii="Arial" w:hAnsi="Arial" w:cs="Arial"/>
        </w:rPr>
        <w:t xml:space="preserve"> Validation, Investigation, Data Curation. </w:t>
      </w:r>
      <w:r>
        <w:rPr>
          <w:rFonts w:ascii="Arial" w:hAnsi="Arial" w:cs="Arial"/>
          <w:b/>
          <w:bCs/>
        </w:rPr>
        <w:t>Charlene Choo:</w:t>
      </w:r>
      <w:r>
        <w:rPr>
          <w:rFonts w:ascii="Arial" w:hAnsi="Arial" w:cs="Arial"/>
        </w:rPr>
        <w:t xml:space="preserve"> Validation, Investigation, Data Curation. </w:t>
      </w:r>
      <w:r>
        <w:rPr>
          <w:rFonts w:ascii="Arial" w:hAnsi="Arial" w:cs="Arial"/>
          <w:b/>
          <w:bCs/>
        </w:rPr>
        <w:t>Dominic Williams:</w:t>
      </w:r>
      <w:r>
        <w:rPr>
          <w:rFonts w:ascii="Arial" w:hAnsi="Arial" w:cs="Arial"/>
        </w:rPr>
        <w:t xml:space="preserve"> Investigation, Data Curation </w:t>
      </w:r>
      <w:r>
        <w:rPr>
          <w:rFonts w:ascii="Arial" w:hAnsi="Arial" w:cs="Arial"/>
          <w:b/>
          <w:bCs/>
        </w:rPr>
        <w:t>Xuan Nguyen:</w:t>
      </w:r>
      <w:r>
        <w:rPr>
          <w:rFonts w:ascii="Arial" w:hAnsi="Arial" w:cs="Arial"/>
        </w:rPr>
        <w:t xml:space="preserve"> Investigation, Data Curation. </w:t>
      </w:r>
      <w:r>
        <w:rPr>
          <w:rFonts w:ascii="Arial" w:hAnsi="Arial" w:cs="Arial"/>
          <w:b/>
          <w:bCs/>
        </w:rPr>
        <w:t>Tien Dat Nguyen</w:t>
      </w:r>
      <w:r>
        <w:rPr>
          <w:rFonts w:ascii="Arial" w:hAnsi="Arial" w:cs="Arial"/>
        </w:rPr>
        <w:t xml:space="preserve">: Investigation, Data Curation. </w:t>
      </w:r>
      <w:r>
        <w:rPr>
          <w:rFonts w:ascii="Arial" w:hAnsi="Arial" w:cs="Arial"/>
          <w:b/>
          <w:bCs/>
        </w:rPr>
        <w:t>Brian Aguirre,</w:t>
      </w:r>
      <w:r>
        <w:rPr>
          <w:rFonts w:ascii="Arial" w:hAnsi="Arial" w:cs="Arial"/>
        </w:rPr>
        <w:t xml:space="preserve"> Investigation, Data Curation. </w:t>
      </w:r>
      <w:r>
        <w:rPr>
          <w:rFonts w:ascii="Arial" w:hAnsi="Arial" w:cs="Arial"/>
          <w:b/>
          <w:bCs/>
        </w:rPr>
        <w:t>Shaukat Khan,</w:t>
      </w:r>
      <w:r>
        <w:rPr>
          <w:rFonts w:ascii="Arial" w:hAnsi="Arial" w:cs="Arial"/>
        </w:rPr>
        <w:t xml:space="preserve"> Investigation, Data Curation. </w:t>
      </w:r>
      <w:r>
        <w:rPr>
          <w:rFonts w:ascii="Arial" w:hAnsi="Arial" w:cs="Arial"/>
          <w:b/>
          <w:bCs/>
        </w:rPr>
        <w:t>Madhuri Wadehra:</w:t>
      </w:r>
      <w:r>
        <w:rPr>
          <w:rFonts w:ascii="Arial" w:hAnsi="Arial" w:cs="Arial"/>
        </w:rPr>
        <w:t xml:space="preserve"> Supervision, </w:t>
      </w:r>
      <w:r>
        <w:rPr>
          <w:rFonts w:ascii="Arial" w:hAnsi="Arial" w:cs="Arial"/>
          <w:b/>
          <w:bCs/>
        </w:rPr>
        <w:t>Shunji Tomatsu:</w:t>
      </w:r>
      <w:r>
        <w:rPr>
          <w:rFonts w:ascii="Arial" w:hAnsi="Arial" w:cs="Arial"/>
        </w:rPr>
        <w:t xml:space="preserve"> Methodology, Writing-Review &amp; editing, Supervision, Project Administration. </w:t>
      </w:r>
      <w:r>
        <w:rPr>
          <w:rFonts w:ascii="Arial" w:hAnsi="Arial" w:cs="Arial"/>
          <w:b/>
          <w:bCs/>
        </w:rPr>
        <w:t>Anthony J. Aldave</w:t>
      </w:r>
      <w:r>
        <w:rPr>
          <w:rFonts w:ascii="Arial" w:hAnsi="Arial" w:cs="Arial"/>
        </w:rPr>
        <w:t>: Conceptualization, Methodology, Writing-Review &amp; editing, Supervision, Project Administration. Funding Acquisition.</w:t>
      </w:r>
    </w:p>
    <w:p w14:paraId="183EA4F8" w14:textId="7B75D8FE" w:rsidR="000C42AF" w:rsidRPr="0025612C" w:rsidRDefault="0025612C" w:rsidP="0025612C">
      <w:pPr>
        <w:pStyle w:val="Head1"/>
      </w:pPr>
      <w:r>
        <w:rPr>
          <w:rFonts w:ascii="Arial" w:hAnsi="Arial" w:cs="Arial"/>
        </w:rPr>
        <w:t>Funding</w:t>
      </w:r>
    </w:p>
    <w:p w14:paraId="364B6D86" w14:textId="2352CA06" w:rsidR="000C42AF" w:rsidRPr="0025612C" w:rsidRDefault="0025612C" w:rsidP="0025612C">
      <w:pPr>
        <w:pStyle w:val="Para"/>
      </w:pPr>
      <w:r>
        <w:rPr>
          <w:rFonts w:ascii="Arial" w:hAnsi="Arial" w:cs="Arial"/>
        </w:rPr>
        <w:t>This work was supported by the National Eye Institute P30EY000331 (core grant to the Stein Eye Institute), and an unrestricted grant from Research to Prevent Blindness (Stein Eye Institute)</w:t>
      </w:r>
    </w:p>
    <w:p w14:paraId="06B586B3" w14:textId="746BC58C" w:rsidR="000C42AF" w:rsidRPr="0025612C" w:rsidRDefault="0025612C" w:rsidP="0025612C">
      <w:pPr>
        <w:pStyle w:val="Head1"/>
      </w:pPr>
      <w:r>
        <w:rPr>
          <w:rFonts w:ascii="Arial" w:hAnsi="Arial" w:cs="Arial"/>
        </w:rPr>
        <w:t>Financial Disclosures</w:t>
      </w:r>
    </w:p>
    <w:p w14:paraId="420CE1CA" w14:textId="4B7A2DEF" w:rsidR="00FE50C9" w:rsidRPr="0025612C" w:rsidRDefault="0025612C" w:rsidP="0025612C">
      <w:pPr>
        <w:pStyle w:val="Para"/>
      </w:pPr>
      <w:r>
        <w:rPr>
          <w:rFonts w:ascii="Arial" w:hAnsi="Arial" w:cs="Arial"/>
        </w:rPr>
        <w:t>No financial disclosures</w:t>
      </w:r>
    </w:p>
    <w:p w14:paraId="252FF50D" w14:textId="0D93789D" w:rsidR="001E309B" w:rsidRPr="0025612C" w:rsidRDefault="0025612C" w:rsidP="0025612C">
      <w:pPr>
        <w:pStyle w:val="Head1"/>
      </w:pPr>
      <w:r>
        <w:t>Table of Contents Statement</w:t>
      </w:r>
    </w:p>
    <w:p w14:paraId="1C4E76FF" w14:textId="68286650" w:rsidR="00FE50C9" w:rsidRPr="0025612C" w:rsidRDefault="0025612C" w:rsidP="0025612C">
      <w:pPr>
        <w:pStyle w:val="Para"/>
      </w:pPr>
      <w:r>
        <w:rPr>
          <w:rFonts w:ascii="Arial" w:hAnsi="Arial" w:cs="Arial"/>
          <w:bCs/>
        </w:rPr>
        <w:t xml:space="preserve">Peripheral macular endothelial dystrophy is a </w:t>
      </w:r>
      <w:r>
        <w:rPr>
          <w:rFonts w:ascii="Arial" w:hAnsi="Arial" w:cs="Arial"/>
          <w:bCs/>
          <w:iCs/>
        </w:rPr>
        <w:t xml:space="preserve">novel </w:t>
      </w:r>
      <w:r>
        <w:rPr>
          <w:rFonts w:ascii="Arial" w:hAnsi="Arial" w:cs="Arial"/>
          <w:i/>
          <w:iCs/>
        </w:rPr>
        <w:t>CHST6</w:t>
      </w:r>
      <w:r>
        <w:rPr>
          <w:rFonts w:ascii="Arial" w:hAnsi="Arial" w:cs="Arial"/>
        </w:rPr>
        <w:t xml:space="preserve">-associated corneal dystrophy </w:t>
      </w:r>
      <w:r>
        <w:rPr>
          <w:rFonts w:ascii="Arial" w:hAnsi="Arial" w:cs="Arial"/>
          <w:bCs/>
          <w:iCs/>
        </w:rPr>
        <w:t xml:space="preserve">characterized by </w:t>
      </w:r>
      <w:r>
        <w:rPr>
          <w:rFonts w:ascii="Arial" w:hAnsi="Arial" w:cs="Arial"/>
          <w:bCs/>
        </w:rPr>
        <w:t>peripheral posterior corneal macular opacities</w:t>
      </w:r>
      <w:r>
        <w:rPr>
          <w:rFonts w:ascii="Arial" w:hAnsi="Arial" w:cs="Arial"/>
          <w:bCs/>
          <w:iCs/>
        </w:rPr>
        <w:t xml:space="preserve"> and endothelial dysfunction without stromal haze or opacities</w:t>
      </w:r>
      <w:r w:rsidRPr="0025612C">
        <w:rPr>
          <w:rFonts w:ascii="Arial" w:hAnsi="Arial" w:cs="Arial"/>
          <w:bCs/>
        </w:rPr>
        <w:t>.</w:t>
      </w:r>
    </w:p>
    <w:p w14:paraId="0A31BA5F" w14:textId="77777777" w:rsidR="000C42AF" w:rsidRPr="00FB7CC4" w:rsidRDefault="000C42AF" w:rsidP="0025612C">
      <w:pPr>
        <w:pStyle w:val="SuppInfo"/>
      </w:pPr>
      <w:r>
        <w:rPr>
          <w:lang w:eastAsia="ko-KR"/>
        </w:rPr>
        <w:t>Supplemental Material available at AJO.com</w:t>
      </w:r>
    </w:p>
    <w:p w14:paraId="1A1E5028" w14:textId="34BE6B48" w:rsidR="000C42AF" w:rsidRDefault="005512E0" w:rsidP="0025612C">
      <w:pPr>
        <w:pStyle w:val="SuppMedia"/>
      </w:pPr>
      <w:r>
        <w:t>mmc1.docx</w:t>
      </w:r>
    </w:p>
    <w:p w14:paraId="1BC3E27E" w14:textId="417AA1B9" w:rsidR="005512E0" w:rsidRDefault="005512E0" w:rsidP="0025612C">
      <w:pPr>
        <w:pStyle w:val="SuppMedia"/>
      </w:pPr>
      <w:r>
        <w:t>mmc2.docx</w:t>
      </w:r>
    </w:p>
    <w:p w14:paraId="605ADB7A" w14:textId="1662E5F1" w:rsidR="005512E0" w:rsidRDefault="005512E0" w:rsidP="0025612C">
      <w:pPr>
        <w:pStyle w:val="SuppMedia"/>
      </w:pPr>
      <w:r>
        <w:t>mmc3.docx</w:t>
      </w:r>
    </w:p>
    <w:p w14:paraId="3737C1E2" w14:textId="6E20D25B" w:rsidR="005512E0" w:rsidRPr="000C42AF" w:rsidRDefault="005512E0" w:rsidP="0025612C">
      <w:pPr>
        <w:pStyle w:val="SuppMedia"/>
      </w:pPr>
      <w:r>
        <w:t>mmc4.docx</w:t>
      </w:r>
    </w:p>
    <w:p w14:paraId="37EB0896" w14:textId="6D43A26C" w:rsidR="00AF4A81" w:rsidRPr="00FB7CC4" w:rsidRDefault="00AF4A81" w:rsidP="0025612C">
      <w:pPr>
        <w:pStyle w:val="AckHead"/>
      </w:pPr>
      <w:r>
        <w:t>ACKNOWL</w:t>
      </w:r>
      <w:r w:rsidR="002A284F" w:rsidRPr="00FB7CC4">
        <w:t>E</w:t>
      </w:r>
      <w:r>
        <w:t>DGEMENT</w:t>
      </w:r>
      <w:r w:rsidR="00254AB9" w:rsidRPr="00FB7CC4">
        <w:t>S</w:t>
      </w:r>
    </w:p>
    <w:p w14:paraId="35047F2D" w14:textId="157BD3B1" w:rsidR="00FB7CC4" w:rsidRPr="0025612C" w:rsidRDefault="0025612C" w:rsidP="0025612C">
      <w:pPr>
        <w:pStyle w:val="AckPara"/>
      </w:pPr>
      <w:bookmarkStart w:id="1" w:name="PrevBreak"/>
      <w:r>
        <w:t>We thank Dr. Tomoya O. Akama (Kansai Medical University) for the generous gifts of pcDNA3_CGn6ST, pcDNA3_KSG6ST and pcDNA3_b3GnT7 plasmids, Dr. James V. Jester (UC Irvine) for the generous gift of a telomerase immortalized human keratocyte cell line and Dr. Ula V. Jurkunas (Massachusetts Eye and Ear) for the generous gift of a telomerase immortalized human endothelial cell line.</w:t>
      </w:r>
    </w:p>
    <w:p w14:paraId="33249677" w14:textId="16D70391" w:rsidR="001E309B" w:rsidRPr="00FB7CC4" w:rsidRDefault="001E309B" w:rsidP="0025612C">
      <w:pPr>
        <w:pStyle w:val="ConflictOfInterestHead"/>
      </w:pPr>
      <w:bookmarkStart w:id="2" w:name="break"/>
      <w:bookmarkEnd w:id="1"/>
      <w:r>
        <w:t>Declaration of competing interest</w:t>
      </w:r>
    </w:p>
    <w:bookmarkEnd w:id="2"/>
    <w:p w14:paraId="3CBFC0CE" w14:textId="7D91DFE9" w:rsidR="00FE50C9" w:rsidRDefault="001E309B" w:rsidP="0025612C">
      <w:pPr>
        <w:pStyle w:val="ConflictofInterest"/>
        <w:ind w:firstLine="0"/>
      </w:pPr>
      <w:r>
        <w:rPr>
          <w:shd w:val="clear" w:color="auto" w:fill="FFFFFF"/>
        </w:rPr>
        <w:t>The authors declare that they have no known competing financial interests or personal relationships that could have appeared to influence the work reported in this paper.</w:t>
      </w:r>
    </w:p>
    <w:p w14:paraId="795325C7" w14:textId="029B9972" w:rsidR="00FE50C9" w:rsidRDefault="007521C6" w:rsidP="005627E8">
      <w:pPr>
        <w:pStyle w:val="ReferenceHead"/>
      </w:pPr>
      <w:r>
        <w:t>REFERENCES</w:t>
      </w:r>
    </w:p>
    <w:p w14:paraId="26348A08" w14:textId="490B03E1" w:rsidR="005B70D5" w:rsidRDefault="005B70D5" w:rsidP="00FE50C9">
      <w:bookmarkStart w:id="3" w:name="BIBL"/>
      <w:bookmarkEnd w:id="3"/>
    </w:p>
    <w:p w14:paraId="3D71F7C5" w14:textId="7DA245E7" w:rsidR="00A11272" w:rsidRPr="005B70D5" w:rsidRDefault="005B70D5" w:rsidP="005B70D5">
      <w:pPr>
        <w:pStyle w:val="Bibentry"/>
      </w:pPr>
      <w:bookmarkStart w:id="4" w:name="bib1"/>
      <w:bookmarkEnd w:id="4"/>
      <w:r>
        <w:t>&lt;bib id="bib1" type="Periodical"&gt;&lt;number&gt;1.&lt;/number&gt;</w:t>
      </w:r>
      <w:r>
        <w:rPr>
          <w:rStyle w:val="Surname"/>
          <w:bdr w:val="dotted" w:sz="4" w:space="0" w:color="auto"/>
        </w:rPr>
        <w:t>Weiss</w:t>
      </w:r>
      <w:r>
        <w:rPr>
          <w:bdr w:val="dotted" w:sz="4" w:space="0" w:color="auto"/>
        </w:rPr>
        <w:t xml:space="preserve"> </w:t>
      </w:r>
      <w:r>
        <w:rPr>
          <w:rStyle w:val="FirstName"/>
          <w:bdr w:val="dotted" w:sz="4" w:space="0" w:color="auto"/>
        </w:rPr>
        <w:t>JS</w:t>
      </w:r>
      <w:r>
        <w:t xml:space="preserve">, </w:t>
      </w:r>
      <w:r>
        <w:rPr>
          <w:rStyle w:val="Surname"/>
          <w:bdr w:val="dotted" w:sz="4" w:space="0" w:color="auto"/>
        </w:rPr>
        <w:t>Moller</w:t>
      </w:r>
      <w:r>
        <w:rPr>
          <w:bdr w:val="dotted" w:sz="4" w:space="0" w:color="auto"/>
        </w:rPr>
        <w:t xml:space="preserve"> </w:t>
      </w:r>
      <w:r>
        <w:rPr>
          <w:rStyle w:val="FirstName"/>
          <w:bdr w:val="dotted" w:sz="4" w:space="0" w:color="auto"/>
        </w:rPr>
        <w:t>HU</w:t>
      </w:r>
      <w:r>
        <w:t xml:space="preserve">, </w:t>
      </w:r>
      <w:r>
        <w:rPr>
          <w:rStyle w:val="Surname"/>
          <w:bdr w:val="dotted" w:sz="4" w:space="0" w:color="auto"/>
        </w:rPr>
        <w:t>Aldave</w:t>
      </w:r>
      <w:r>
        <w:rPr>
          <w:bdr w:val="dotted" w:sz="4" w:space="0" w:color="auto"/>
        </w:rPr>
        <w:t xml:space="preserve"> </w:t>
      </w:r>
      <w:r>
        <w:rPr>
          <w:rStyle w:val="FirstName"/>
          <w:bdr w:val="dotted" w:sz="4" w:space="0" w:color="auto"/>
        </w:rPr>
        <w:t>AJ</w:t>
      </w:r>
      <w:r>
        <w:t xml:space="preserve">, et al. </w:t>
      </w:r>
      <w:r>
        <w:rPr>
          <w:rStyle w:val="ArticleTitle"/>
        </w:rPr>
        <w:t>IC3D classification of corneal dystrophies--edition 2</w:t>
      </w:r>
      <w:r>
        <w:t xml:space="preserve">. </w:t>
      </w:r>
      <w:r>
        <w:rPr>
          <w:rStyle w:val="JournalTitle"/>
          <w:i/>
        </w:rPr>
        <w:t>Cornea</w:t>
      </w:r>
      <w:r>
        <w:rPr>
          <w:i/>
        </w:rPr>
        <w:t>.</w:t>
      </w:r>
      <w:r>
        <w:t xml:space="preserve"> </w:t>
      </w:r>
      <w:r>
        <w:rPr>
          <w:rStyle w:val="Year"/>
        </w:rPr>
        <w:t>2015</w:t>
      </w:r>
      <w:r>
        <w:t>;</w:t>
      </w:r>
      <w:r>
        <w:rPr>
          <w:rStyle w:val="Volume"/>
        </w:rPr>
        <w:t>34</w:t>
      </w:r>
      <w:r>
        <w:t>(</w:t>
      </w:r>
      <w:r>
        <w:rPr>
          <w:rStyle w:val="Issue"/>
        </w:rPr>
        <w:t>2</w:t>
      </w:r>
      <w:r>
        <w:t>):</w:t>
      </w:r>
      <w:r>
        <w:rPr>
          <w:rStyle w:val="Pages"/>
        </w:rPr>
        <w:t>117-159</w:t>
      </w:r>
      <w:r>
        <w:t>.&lt;/bib&gt;</w:t>
      </w:r>
    </w:p>
    <w:p w14:paraId="10AD0E6C" w14:textId="55609D83" w:rsidR="00A11272" w:rsidRPr="005B70D5" w:rsidRDefault="005B70D5" w:rsidP="005B70D5">
      <w:pPr>
        <w:pStyle w:val="Bibentry"/>
      </w:pPr>
      <w:bookmarkStart w:id="5" w:name="bib2"/>
      <w:bookmarkEnd w:id="5"/>
      <w:r>
        <w:t>&lt;bib id="bib2" type="Periodical"&gt;&lt;number&gt;2.&lt;/number&gt;</w:t>
      </w:r>
      <w:r>
        <w:rPr>
          <w:rStyle w:val="Surname"/>
          <w:bdr w:val="dotted" w:sz="4" w:space="0" w:color="auto"/>
        </w:rPr>
        <w:t>Weiss</w:t>
      </w:r>
      <w:r>
        <w:rPr>
          <w:bdr w:val="dotted" w:sz="4" w:space="0" w:color="auto"/>
        </w:rPr>
        <w:t xml:space="preserve"> </w:t>
      </w:r>
      <w:r>
        <w:rPr>
          <w:rStyle w:val="FirstName"/>
          <w:bdr w:val="dotted" w:sz="4" w:space="0" w:color="auto"/>
        </w:rPr>
        <w:t>JS</w:t>
      </w:r>
      <w:r>
        <w:t xml:space="preserve">, </w:t>
      </w:r>
      <w:r>
        <w:rPr>
          <w:rStyle w:val="Surname"/>
          <w:bdr w:val="dotted" w:sz="4" w:space="0" w:color="auto"/>
        </w:rPr>
        <w:t>Rapuano</w:t>
      </w:r>
      <w:r>
        <w:rPr>
          <w:bdr w:val="dotted" w:sz="4" w:space="0" w:color="auto"/>
        </w:rPr>
        <w:t xml:space="preserve"> </w:t>
      </w:r>
      <w:r>
        <w:rPr>
          <w:rStyle w:val="FirstName"/>
          <w:bdr w:val="dotted" w:sz="4" w:space="0" w:color="auto"/>
        </w:rPr>
        <w:t>CJ</w:t>
      </w:r>
      <w:r>
        <w:t xml:space="preserve">, </w:t>
      </w:r>
      <w:r>
        <w:rPr>
          <w:rStyle w:val="Surname"/>
          <w:bdr w:val="dotted" w:sz="4" w:space="0" w:color="auto"/>
        </w:rPr>
        <w:t>Seitz</w:t>
      </w:r>
      <w:r>
        <w:rPr>
          <w:bdr w:val="dotted" w:sz="4" w:space="0" w:color="auto"/>
        </w:rPr>
        <w:t xml:space="preserve"> </w:t>
      </w:r>
      <w:r>
        <w:rPr>
          <w:rStyle w:val="FirstName"/>
          <w:bdr w:val="dotted" w:sz="4" w:space="0" w:color="auto"/>
        </w:rPr>
        <w:t>B</w:t>
      </w:r>
      <w:r>
        <w:t xml:space="preserve">, et al. </w:t>
      </w:r>
      <w:r>
        <w:rPr>
          <w:rStyle w:val="ArticleTitle"/>
        </w:rPr>
        <w:t>IC3D Classification of Corneal Dystrophies-Edition 3</w:t>
      </w:r>
      <w:r>
        <w:t xml:space="preserve">. </w:t>
      </w:r>
      <w:r>
        <w:rPr>
          <w:rStyle w:val="JournalTitle"/>
          <w:i/>
        </w:rPr>
        <w:t>Cornea</w:t>
      </w:r>
      <w:r>
        <w:rPr>
          <w:i/>
        </w:rPr>
        <w:t>.</w:t>
      </w:r>
      <w:r>
        <w:t xml:space="preserve"> </w:t>
      </w:r>
      <w:r>
        <w:rPr>
          <w:rStyle w:val="Year"/>
        </w:rPr>
        <w:t>2024</w:t>
      </w:r>
      <w:r>
        <w:t>;</w:t>
      </w:r>
      <w:r>
        <w:rPr>
          <w:rStyle w:val="Volume"/>
        </w:rPr>
        <w:t>43</w:t>
      </w:r>
      <w:r>
        <w:t>(</w:t>
      </w:r>
      <w:r>
        <w:rPr>
          <w:rStyle w:val="Issue"/>
        </w:rPr>
        <w:t>4</w:t>
      </w:r>
      <w:r>
        <w:t>):</w:t>
      </w:r>
      <w:r>
        <w:rPr>
          <w:rStyle w:val="Pages"/>
        </w:rPr>
        <w:t>466-527</w:t>
      </w:r>
      <w:r>
        <w:t>.&lt;/bib&gt;</w:t>
      </w:r>
    </w:p>
    <w:p w14:paraId="5A0F097E" w14:textId="76878852" w:rsidR="00A11272" w:rsidRPr="005B70D5" w:rsidRDefault="005B70D5" w:rsidP="005B70D5">
      <w:pPr>
        <w:pStyle w:val="Bibentry"/>
      </w:pPr>
      <w:bookmarkStart w:id="6" w:name="bib3"/>
      <w:bookmarkEnd w:id="6"/>
      <w:r>
        <w:t>&lt;bib id="bib3" type="Periodical"&gt;&lt;number&gt;3.&lt;/number&gt;</w:t>
      </w:r>
      <w:r>
        <w:rPr>
          <w:rStyle w:val="Surname"/>
          <w:bdr w:val="dotted" w:sz="4" w:space="0" w:color="auto"/>
        </w:rPr>
        <w:t>Bendl</w:t>
      </w:r>
      <w:r>
        <w:rPr>
          <w:bdr w:val="dotted" w:sz="4" w:space="0" w:color="auto"/>
        </w:rPr>
        <w:t xml:space="preserve"> </w:t>
      </w:r>
      <w:r>
        <w:rPr>
          <w:rStyle w:val="FirstName"/>
          <w:bdr w:val="dotted" w:sz="4" w:space="0" w:color="auto"/>
        </w:rPr>
        <w:t>J</w:t>
      </w:r>
      <w:r>
        <w:t xml:space="preserve">, </w:t>
      </w:r>
      <w:r>
        <w:rPr>
          <w:rStyle w:val="Surname"/>
          <w:bdr w:val="dotted" w:sz="4" w:space="0" w:color="auto"/>
        </w:rPr>
        <w:t>Musil</w:t>
      </w:r>
      <w:r>
        <w:rPr>
          <w:bdr w:val="dotted" w:sz="4" w:space="0" w:color="auto"/>
        </w:rPr>
        <w:t xml:space="preserve"> </w:t>
      </w:r>
      <w:r>
        <w:rPr>
          <w:rStyle w:val="FirstName"/>
          <w:bdr w:val="dotted" w:sz="4" w:space="0" w:color="auto"/>
        </w:rPr>
        <w:t>M</w:t>
      </w:r>
      <w:r>
        <w:t xml:space="preserve">, </w:t>
      </w:r>
      <w:r>
        <w:rPr>
          <w:rStyle w:val="Surname"/>
          <w:bdr w:val="dotted" w:sz="4" w:space="0" w:color="auto"/>
        </w:rPr>
        <w:t>Stourac</w:t>
      </w:r>
      <w:r>
        <w:rPr>
          <w:bdr w:val="dotted" w:sz="4" w:space="0" w:color="auto"/>
        </w:rPr>
        <w:t xml:space="preserve"> </w:t>
      </w:r>
      <w:r>
        <w:rPr>
          <w:rStyle w:val="FirstName"/>
          <w:bdr w:val="dotted" w:sz="4" w:space="0" w:color="auto"/>
        </w:rPr>
        <w:t>J</w:t>
      </w:r>
      <w:r>
        <w:t xml:space="preserve">, </w:t>
      </w:r>
      <w:r>
        <w:rPr>
          <w:rStyle w:val="Surname"/>
          <w:bdr w:val="dotted" w:sz="4" w:space="0" w:color="auto"/>
        </w:rPr>
        <w:t>Zendulka</w:t>
      </w:r>
      <w:r>
        <w:rPr>
          <w:bdr w:val="dotted" w:sz="4" w:space="0" w:color="auto"/>
        </w:rPr>
        <w:t xml:space="preserve"> </w:t>
      </w:r>
      <w:r>
        <w:rPr>
          <w:rStyle w:val="FirstName"/>
          <w:bdr w:val="dotted" w:sz="4" w:space="0" w:color="auto"/>
        </w:rPr>
        <w:t>J</w:t>
      </w:r>
      <w:r>
        <w:t xml:space="preserve">, </w:t>
      </w:r>
      <w:r>
        <w:rPr>
          <w:rStyle w:val="Surname"/>
          <w:bdr w:val="dotted" w:sz="4" w:space="0" w:color="auto"/>
        </w:rPr>
        <w:t>Damborsky</w:t>
      </w:r>
      <w:r>
        <w:rPr>
          <w:bdr w:val="dotted" w:sz="4" w:space="0" w:color="auto"/>
        </w:rPr>
        <w:t xml:space="preserve"> </w:t>
      </w:r>
      <w:r>
        <w:rPr>
          <w:rStyle w:val="FirstName"/>
          <w:bdr w:val="dotted" w:sz="4" w:space="0" w:color="auto"/>
        </w:rPr>
        <w:t>J</w:t>
      </w:r>
      <w:r>
        <w:t xml:space="preserve">, </w:t>
      </w:r>
      <w:r>
        <w:rPr>
          <w:rStyle w:val="Surname"/>
          <w:bdr w:val="dotted" w:sz="4" w:space="0" w:color="auto"/>
        </w:rPr>
        <w:t>Brezovsky</w:t>
      </w:r>
      <w:r>
        <w:rPr>
          <w:bdr w:val="dotted" w:sz="4" w:space="0" w:color="auto"/>
        </w:rPr>
        <w:t xml:space="preserve"> </w:t>
      </w:r>
      <w:r>
        <w:rPr>
          <w:rStyle w:val="FirstName"/>
          <w:bdr w:val="dotted" w:sz="4" w:space="0" w:color="auto"/>
        </w:rPr>
        <w:t>J.</w:t>
      </w:r>
      <w:r>
        <w:t xml:space="preserve"> </w:t>
      </w:r>
      <w:r>
        <w:rPr>
          <w:rStyle w:val="ArticleTitle"/>
        </w:rPr>
        <w:t>PredictSNP2: A Unified Platform for Accurately Evaluating SNP Effects by Exploiting the Different Characteristics of Variants in Distinct Genomic Regions</w:t>
      </w:r>
      <w:r>
        <w:t xml:space="preserve">. </w:t>
      </w:r>
      <w:r>
        <w:rPr>
          <w:rStyle w:val="JournalTitle"/>
          <w:i/>
        </w:rPr>
        <w:t>PLoS Comput Biol</w:t>
      </w:r>
      <w:r>
        <w:rPr>
          <w:i/>
        </w:rPr>
        <w:t>.</w:t>
      </w:r>
      <w:r>
        <w:t xml:space="preserve"> </w:t>
      </w:r>
      <w:r>
        <w:rPr>
          <w:rStyle w:val="Year"/>
        </w:rPr>
        <w:t>2016</w:t>
      </w:r>
      <w:r>
        <w:t>;</w:t>
      </w:r>
      <w:r>
        <w:rPr>
          <w:rStyle w:val="Volume"/>
        </w:rPr>
        <w:t>12</w:t>
      </w:r>
      <w:r>
        <w:t>(</w:t>
      </w:r>
      <w:r>
        <w:rPr>
          <w:rStyle w:val="Issue"/>
        </w:rPr>
        <w:t>5</w:t>
      </w:r>
      <w:r>
        <w:t>):</w:t>
      </w:r>
      <w:r>
        <w:rPr>
          <w:rStyle w:val="Pages"/>
        </w:rPr>
        <w:t>e1004962</w:t>
      </w:r>
      <w:r>
        <w:t>.&lt;/bib&gt;</w:t>
      </w:r>
    </w:p>
    <w:p w14:paraId="0DEC12D3" w14:textId="4885BAE8" w:rsidR="00A11272" w:rsidRPr="005B70D5" w:rsidRDefault="005B70D5" w:rsidP="005B70D5">
      <w:pPr>
        <w:pStyle w:val="Bibentry"/>
      </w:pPr>
      <w:bookmarkStart w:id="7" w:name="bib4"/>
      <w:bookmarkEnd w:id="7"/>
      <w:r>
        <w:t>&lt;bib id="bib4" type="Periodical"&gt;&lt;number&gt;4.&lt;/number&gt;</w:t>
      </w:r>
      <w:r>
        <w:rPr>
          <w:rStyle w:val="Surname"/>
          <w:bdr w:val="dotted" w:sz="4" w:space="0" w:color="auto"/>
        </w:rPr>
        <w:t>Adzhubei</w:t>
      </w:r>
      <w:r>
        <w:rPr>
          <w:bdr w:val="dotted" w:sz="4" w:space="0" w:color="auto"/>
        </w:rPr>
        <w:t xml:space="preserve"> </w:t>
      </w:r>
      <w:r>
        <w:rPr>
          <w:rStyle w:val="FirstName"/>
          <w:bdr w:val="dotted" w:sz="4" w:space="0" w:color="auto"/>
        </w:rPr>
        <w:t>IA</w:t>
      </w:r>
      <w:r>
        <w:t xml:space="preserve">, </w:t>
      </w:r>
      <w:r>
        <w:rPr>
          <w:rStyle w:val="Surname"/>
          <w:bdr w:val="dotted" w:sz="4" w:space="0" w:color="auto"/>
        </w:rPr>
        <w:t>Schmidt</w:t>
      </w:r>
      <w:r>
        <w:rPr>
          <w:bdr w:val="dotted" w:sz="4" w:space="0" w:color="auto"/>
        </w:rPr>
        <w:t xml:space="preserve"> </w:t>
      </w:r>
      <w:r>
        <w:rPr>
          <w:rStyle w:val="FirstName"/>
          <w:bdr w:val="dotted" w:sz="4" w:space="0" w:color="auto"/>
        </w:rPr>
        <w:t>S</w:t>
      </w:r>
      <w:r>
        <w:t xml:space="preserve">, </w:t>
      </w:r>
      <w:r>
        <w:rPr>
          <w:rStyle w:val="Surname"/>
          <w:bdr w:val="dotted" w:sz="4" w:space="0" w:color="auto"/>
        </w:rPr>
        <w:t>Peshkin</w:t>
      </w:r>
      <w:r>
        <w:rPr>
          <w:bdr w:val="dotted" w:sz="4" w:space="0" w:color="auto"/>
        </w:rPr>
        <w:t xml:space="preserve"> </w:t>
      </w:r>
      <w:r>
        <w:rPr>
          <w:rStyle w:val="FirstName"/>
          <w:bdr w:val="dotted" w:sz="4" w:space="0" w:color="auto"/>
        </w:rPr>
        <w:t>L</w:t>
      </w:r>
      <w:r>
        <w:t xml:space="preserve">, et al. </w:t>
      </w:r>
      <w:r>
        <w:rPr>
          <w:rStyle w:val="ArticleTitle"/>
        </w:rPr>
        <w:t>A method and server for predicting damaging missense mutations</w:t>
      </w:r>
      <w:r>
        <w:t xml:space="preserve">. </w:t>
      </w:r>
      <w:r>
        <w:rPr>
          <w:rStyle w:val="JournalTitle"/>
          <w:i/>
        </w:rPr>
        <w:t>Nature methods</w:t>
      </w:r>
      <w:r>
        <w:rPr>
          <w:i/>
        </w:rPr>
        <w:t>.</w:t>
      </w:r>
      <w:r>
        <w:t xml:space="preserve"> </w:t>
      </w:r>
      <w:r>
        <w:rPr>
          <w:rStyle w:val="Year"/>
        </w:rPr>
        <w:t>2010</w:t>
      </w:r>
      <w:r>
        <w:t>;</w:t>
      </w:r>
      <w:r>
        <w:rPr>
          <w:rStyle w:val="Volume"/>
        </w:rPr>
        <w:t>7</w:t>
      </w:r>
      <w:r>
        <w:t>(</w:t>
      </w:r>
      <w:r>
        <w:rPr>
          <w:rStyle w:val="Issue"/>
        </w:rPr>
        <w:t>4</w:t>
      </w:r>
      <w:r>
        <w:t>):</w:t>
      </w:r>
      <w:r>
        <w:rPr>
          <w:rStyle w:val="Pages"/>
        </w:rPr>
        <w:t>248-249</w:t>
      </w:r>
      <w:r>
        <w:t>.&lt;/bib&gt;</w:t>
      </w:r>
    </w:p>
    <w:p w14:paraId="349AD948" w14:textId="4D603FB4" w:rsidR="00A11272" w:rsidRPr="005B70D5" w:rsidRDefault="005B70D5" w:rsidP="005B70D5">
      <w:pPr>
        <w:pStyle w:val="Bibentry"/>
      </w:pPr>
      <w:bookmarkStart w:id="8" w:name="bib5"/>
      <w:bookmarkEnd w:id="8"/>
      <w:r>
        <w:t>&lt;bib id="bib5" type="Periodical"&gt;&lt;number&gt;5.&lt;/number&gt;</w:t>
      </w:r>
      <w:r>
        <w:rPr>
          <w:rStyle w:val="Surname"/>
          <w:bdr w:val="dotted" w:sz="4" w:space="0" w:color="auto"/>
        </w:rPr>
        <w:t>Boyle</w:t>
      </w:r>
      <w:r>
        <w:rPr>
          <w:bdr w:val="dotted" w:sz="4" w:space="0" w:color="auto"/>
        </w:rPr>
        <w:t xml:space="preserve"> </w:t>
      </w:r>
      <w:r>
        <w:rPr>
          <w:rStyle w:val="FirstName"/>
          <w:bdr w:val="dotted" w:sz="4" w:space="0" w:color="auto"/>
        </w:rPr>
        <w:t>AP</w:t>
      </w:r>
      <w:r>
        <w:t xml:space="preserve">, </w:t>
      </w:r>
      <w:r>
        <w:rPr>
          <w:rStyle w:val="Surname"/>
          <w:bdr w:val="dotted" w:sz="4" w:space="0" w:color="auto"/>
        </w:rPr>
        <w:t>Hong</w:t>
      </w:r>
      <w:r>
        <w:rPr>
          <w:bdr w:val="dotted" w:sz="4" w:space="0" w:color="auto"/>
        </w:rPr>
        <w:t xml:space="preserve"> </w:t>
      </w:r>
      <w:r>
        <w:rPr>
          <w:rStyle w:val="FirstName"/>
          <w:bdr w:val="dotted" w:sz="4" w:space="0" w:color="auto"/>
        </w:rPr>
        <w:t>EL</w:t>
      </w:r>
      <w:r>
        <w:t xml:space="preserve">, </w:t>
      </w:r>
      <w:r>
        <w:rPr>
          <w:rStyle w:val="Surname"/>
          <w:bdr w:val="dotted" w:sz="4" w:space="0" w:color="auto"/>
        </w:rPr>
        <w:t>Hariharan</w:t>
      </w:r>
      <w:r>
        <w:rPr>
          <w:bdr w:val="dotted" w:sz="4" w:space="0" w:color="auto"/>
        </w:rPr>
        <w:t xml:space="preserve"> </w:t>
      </w:r>
      <w:r>
        <w:rPr>
          <w:rStyle w:val="FirstName"/>
          <w:bdr w:val="dotted" w:sz="4" w:space="0" w:color="auto"/>
        </w:rPr>
        <w:t>M</w:t>
      </w:r>
      <w:r>
        <w:t xml:space="preserve">, et al. </w:t>
      </w:r>
      <w:r>
        <w:rPr>
          <w:rStyle w:val="ArticleTitle"/>
        </w:rPr>
        <w:t>Annotation of functional variation in personal genomes using RegulomeDB</w:t>
      </w:r>
      <w:r>
        <w:t xml:space="preserve">. </w:t>
      </w:r>
      <w:r>
        <w:rPr>
          <w:rStyle w:val="JournalTitle"/>
          <w:i/>
        </w:rPr>
        <w:t>Genome Res</w:t>
      </w:r>
      <w:r>
        <w:rPr>
          <w:i/>
        </w:rPr>
        <w:t>.</w:t>
      </w:r>
      <w:r>
        <w:t xml:space="preserve"> </w:t>
      </w:r>
      <w:r>
        <w:rPr>
          <w:rStyle w:val="Year"/>
        </w:rPr>
        <w:t>2012</w:t>
      </w:r>
      <w:r>
        <w:t>;</w:t>
      </w:r>
      <w:r>
        <w:rPr>
          <w:rStyle w:val="Volume"/>
        </w:rPr>
        <w:t>22</w:t>
      </w:r>
      <w:r>
        <w:t>(</w:t>
      </w:r>
      <w:r>
        <w:rPr>
          <w:rStyle w:val="Issue"/>
        </w:rPr>
        <w:t>9</w:t>
      </w:r>
      <w:r>
        <w:t>):</w:t>
      </w:r>
      <w:r>
        <w:rPr>
          <w:rStyle w:val="Pages"/>
        </w:rPr>
        <w:t>1790-1797</w:t>
      </w:r>
      <w:r>
        <w:t>.&lt;/bib&gt;</w:t>
      </w:r>
    </w:p>
    <w:p w14:paraId="338E7493" w14:textId="0078CC0A" w:rsidR="00A11272" w:rsidRPr="005B70D5" w:rsidRDefault="005B70D5" w:rsidP="005B70D5">
      <w:pPr>
        <w:pStyle w:val="Bibentry"/>
      </w:pPr>
      <w:bookmarkStart w:id="9" w:name="bib6"/>
      <w:bookmarkEnd w:id="9"/>
      <w:r>
        <w:t>&lt;bib id="bib6" type="Periodical"&gt;&lt;number&gt;6.&lt;/number&gt;</w:t>
      </w:r>
      <w:r>
        <w:rPr>
          <w:rStyle w:val="Surname"/>
          <w:bdr w:val="dotted" w:sz="4" w:space="0" w:color="auto"/>
        </w:rPr>
        <w:t>Abascal</w:t>
      </w:r>
      <w:r>
        <w:rPr>
          <w:bdr w:val="dotted" w:sz="4" w:space="0" w:color="auto"/>
        </w:rPr>
        <w:t xml:space="preserve"> </w:t>
      </w:r>
      <w:r>
        <w:rPr>
          <w:rStyle w:val="FirstName"/>
          <w:bdr w:val="dotted" w:sz="4" w:space="0" w:color="auto"/>
        </w:rPr>
        <w:t>F</w:t>
      </w:r>
      <w:r>
        <w:t xml:space="preserve">, </w:t>
      </w:r>
      <w:r>
        <w:rPr>
          <w:rStyle w:val="Surname"/>
          <w:bdr w:val="dotted" w:sz="4" w:space="0" w:color="auto"/>
        </w:rPr>
        <w:t>Acosta</w:t>
      </w:r>
      <w:r>
        <w:rPr>
          <w:bdr w:val="dotted" w:sz="4" w:space="0" w:color="auto"/>
        </w:rPr>
        <w:t xml:space="preserve"> </w:t>
      </w:r>
      <w:r>
        <w:rPr>
          <w:rStyle w:val="FirstName"/>
          <w:bdr w:val="dotted" w:sz="4" w:space="0" w:color="auto"/>
        </w:rPr>
        <w:t>R</w:t>
      </w:r>
      <w:r>
        <w:t xml:space="preserve">, </w:t>
      </w:r>
      <w:r>
        <w:rPr>
          <w:rStyle w:val="Surname"/>
          <w:bdr w:val="dotted" w:sz="4" w:space="0" w:color="auto"/>
        </w:rPr>
        <w:t>Addleman</w:t>
      </w:r>
      <w:r>
        <w:rPr>
          <w:bdr w:val="dotted" w:sz="4" w:space="0" w:color="auto"/>
        </w:rPr>
        <w:t xml:space="preserve"> </w:t>
      </w:r>
      <w:r>
        <w:rPr>
          <w:rStyle w:val="FirstName"/>
          <w:bdr w:val="dotted" w:sz="4" w:space="0" w:color="auto"/>
        </w:rPr>
        <w:t>NJ</w:t>
      </w:r>
      <w:r>
        <w:t xml:space="preserve">, et al. </w:t>
      </w:r>
      <w:r>
        <w:rPr>
          <w:rStyle w:val="ArticleTitle"/>
        </w:rPr>
        <w:t>Expanded encyclopaedias of DNA elements in the human and mouse genomes</w:t>
      </w:r>
      <w:r>
        <w:t xml:space="preserve">. </w:t>
      </w:r>
      <w:r>
        <w:rPr>
          <w:rStyle w:val="JournalTitle"/>
          <w:i/>
        </w:rPr>
        <w:t>Nature</w:t>
      </w:r>
      <w:r>
        <w:rPr>
          <w:i/>
        </w:rPr>
        <w:t>.</w:t>
      </w:r>
      <w:r>
        <w:t xml:space="preserve"> </w:t>
      </w:r>
      <w:r>
        <w:rPr>
          <w:rStyle w:val="Year"/>
        </w:rPr>
        <w:t>2020</w:t>
      </w:r>
      <w:r>
        <w:t>;</w:t>
      </w:r>
      <w:r>
        <w:rPr>
          <w:rStyle w:val="Volume"/>
        </w:rPr>
        <w:t>583</w:t>
      </w:r>
      <w:r>
        <w:t>(</w:t>
      </w:r>
      <w:r>
        <w:rPr>
          <w:rStyle w:val="Issue"/>
        </w:rPr>
        <w:t>7818</w:t>
      </w:r>
      <w:r>
        <w:t>):</w:t>
      </w:r>
      <w:r>
        <w:rPr>
          <w:rStyle w:val="Pages"/>
        </w:rPr>
        <w:t>699-710</w:t>
      </w:r>
      <w:r>
        <w:t>.&lt;/bib&gt;</w:t>
      </w:r>
    </w:p>
    <w:p w14:paraId="7B1B07EF" w14:textId="35384179" w:rsidR="00A11272" w:rsidRPr="005B70D5" w:rsidRDefault="005B70D5" w:rsidP="005B70D5">
      <w:pPr>
        <w:pStyle w:val="Bibentry"/>
      </w:pPr>
      <w:bookmarkStart w:id="10" w:name="bib7"/>
      <w:bookmarkEnd w:id="10"/>
      <w:r>
        <w:t>&lt;bib id="bib7" type="Periodical"&gt;&lt;number&gt;7.&lt;/number&gt;</w:t>
      </w:r>
      <w:r>
        <w:rPr>
          <w:rStyle w:val="Surname"/>
          <w:bdr w:val="dotted" w:sz="4" w:space="0" w:color="auto"/>
        </w:rPr>
        <w:t>Zhou</w:t>
      </w:r>
      <w:r>
        <w:rPr>
          <w:bdr w:val="dotted" w:sz="4" w:space="0" w:color="auto"/>
        </w:rPr>
        <w:t xml:space="preserve"> </w:t>
      </w:r>
      <w:r>
        <w:rPr>
          <w:rStyle w:val="FirstName"/>
          <w:bdr w:val="dotted" w:sz="4" w:space="0" w:color="auto"/>
        </w:rPr>
        <w:t>J</w:t>
      </w:r>
      <w:r>
        <w:t xml:space="preserve">, </w:t>
      </w:r>
      <w:r>
        <w:rPr>
          <w:rStyle w:val="Surname"/>
          <w:bdr w:val="dotted" w:sz="4" w:space="0" w:color="auto"/>
        </w:rPr>
        <w:t>Theesfeld</w:t>
      </w:r>
      <w:r>
        <w:rPr>
          <w:bdr w:val="dotted" w:sz="4" w:space="0" w:color="auto"/>
        </w:rPr>
        <w:t xml:space="preserve"> </w:t>
      </w:r>
      <w:r>
        <w:rPr>
          <w:rStyle w:val="FirstName"/>
          <w:bdr w:val="dotted" w:sz="4" w:space="0" w:color="auto"/>
        </w:rPr>
        <w:t>CL</w:t>
      </w:r>
      <w:r>
        <w:t xml:space="preserve">, </w:t>
      </w:r>
      <w:r>
        <w:rPr>
          <w:rStyle w:val="Surname"/>
          <w:bdr w:val="dotted" w:sz="4" w:space="0" w:color="auto"/>
        </w:rPr>
        <w:t>Yao</w:t>
      </w:r>
      <w:r>
        <w:rPr>
          <w:bdr w:val="dotted" w:sz="4" w:space="0" w:color="auto"/>
        </w:rPr>
        <w:t xml:space="preserve"> </w:t>
      </w:r>
      <w:r>
        <w:rPr>
          <w:rStyle w:val="FirstName"/>
          <w:bdr w:val="dotted" w:sz="4" w:space="0" w:color="auto"/>
        </w:rPr>
        <w:t>K</w:t>
      </w:r>
      <w:r>
        <w:t xml:space="preserve">, </w:t>
      </w:r>
      <w:r>
        <w:rPr>
          <w:rStyle w:val="Surname"/>
          <w:bdr w:val="dotted" w:sz="4" w:space="0" w:color="auto"/>
        </w:rPr>
        <w:t>Chen</w:t>
      </w:r>
      <w:r>
        <w:rPr>
          <w:bdr w:val="dotted" w:sz="4" w:space="0" w:color="auto"/>
        </w:rPr>
        <w:t xml:space="preserve"> </w:t>
      </w:r>
      <w:r>
        <w:rPr>
          <w:rStyle w:val="FirstName"/>
          <w:bdr w:val="dotted" w:sz="4" w:space="0" w:color="auto"/>
        </w:rPr>
        <w:t>KM</w:t>
      </w:r>
      <w:r>
        <w:t xml:space="preserve">, </w:t>
      </w:r>
      <w:r>
        <w:rPr>
          <w:rStyle w:val="Surname"/>
          <w:bdr w:val="dotted" w:sz="4" w:space="0" w:color="auto"/>
        </w:rPr>
        <w:t>Wong</w:t>
      </w:r>
      <w:r>
        <w:rPr>
          <w:bdr w:val="dotted" w:sz="4" w:space="0" w:color="auto"/>
        </w:rPr>
        <w:t xml:space="preserve"> </w:t>
      </w:r>
      <w:r>
        <w:rPr>
          <w:rStyle w:val="FirstName"/>
          <w:bdr w:val="dotted" w:sz="4" w:space="0" w:color="auto"/>
        </w:rPr>
        <w:t>AK</w:t>
      </w:r>
      <w:r>
        <w:t xml:space="preserve">, </w:t>
      </w:r>
      <w:r>
        <w:rPr>
          <w:rStyle w:val="Surname"/>
          <w:bdr w:val="dotted" w:sz="4" w:space="0" w:color="auto"/>
        </w:rPr>
        <w:t>Troyanskaya</w:t>
      </w:r>
      <w:r>
        <w:rPr>
          <w:bdr w:val="dotted" w:sz="4" w:space="0" w:color="auto"/>
        </w:rPr>
        <w:t xml:space="preserve"> </w:t>
      </w:r>
      <w:r>
        <w:rPr>
          <w:rStyle w:val="FirstName"/>
          <w:bdr w:val="dotted" w:sz="4" w:space="0" w:color="auto"/>
        </w:rPr>
        <w:t>OG.</w:t>
      </w:r>
      <w:r>
        <w:t xml:space="preserve"> </w:t>
      </w:r>
      <w:r>
        <w:rPr>
          <w:rStyle w:val="ArticleTitle"/>
        </w:rPr>
        <w:t>Deep learning sequence-based ab initio prediction of variant effects on expression and disease risk</w:t>
      </w:r>
      <w:r>
        <w:t xml:space="preserve">. </w:t>
      </w:r>
      <w:r>
        <w:rPr>
          <w:rStyle w:val="JournalTitle"/>
          <w:i/>
        </w:rPr>
        <w:t>Nature Genetics</w:t>
      </w:r>
      <w:r>
        <w:rPr>
          <w:i/>
        </w:rPr>
        <w:t>.</w:t>
      </w:r>
      <w:r>
        <w:t xml:space="preserve"> </w:t>
      </w:r>
      <w:r>
        <w:rPr>
          <w:rStyle w:val="Year"/>
        </w:rPr>
        <w:t>2018</w:t>
      </w:r>
      <w:r>
        <w:t>;</w:t>
      </w:r>
      <w:r>
        <w:rPr>
          <w:rStyle w:val="Volume"/>
        </w:rPr>
        <w:t>50</w:t>
      </w:r>
      <w:r>
        <w:t>(</w:t>
      </w:r>
      <w:r>
        <w:rPr>
          <w:rStyle w:val="Issue"/>
        </w:rPr>
        <w:t>8</w:t>
      </w:r>
      <w:r>
        <w:t>):</w:t>
      </w:r>
      <w:r>
        <w:rPr>
          <w:rStyle w:val="Pages"/>
        </w:rPr>
        <w:t>1171-1179</w:t>
      </w:r>
      <w:r>
        <w:t>.&lt;/bib&gt;</w:t>
      </w:r>
    </w:p>
    <w:p w14:paraId="570C688A" w14:textId="4A348E62" w:rsidR="00A11272" w:rsidRPr="005B70D5" w:rsidRDefault="005B70D5" w:rsidP="005B70D5">
      <w:pPr>
        <w:pStyle w:val="Bibentry"/>
      </w:pPr>
      <w:bookmarkStart w:id="11" w:name="bib8"/>
      <w:bookmarkEnd w:id="11"/>
      <w:r>
        <w:t>&lt;bib id="bib8" type="Periodical"&gt;&lt;number&gt;8.&lt;/number&gt;</w:t>
      </w:r>
      <w:r>
        <w:rPr>
          <w:rStyle w:val="Surname"/>
          <w:bdr w:val="dotted" w:sz="4" w:space="0" w:color="auto"/>
        </w:rPr>
        <w:t>Consortium</w:t>
      </w:r>
      <w:r>
        <w:rPr>
          <w:bdr w:val="dotted" w:sz="4" w:space="0" w:color="auto"/>
        </w:rPr>
        <w:t xml:space="preserve"> </w:t>
      </w:r>
      <w:r>
        <w:rPr>
          <w:rStyle w:val="FirstName"/>
          <w:bdr w:val="dotted" w:sz="4" w:space="0" w:color="auto"/>
        </w:rPr>
        <w:t>EP</w:t>
      </w:r>
      <w:r>
        <w:t xml:space="preserve">, </w:t>
      </w:r>
      <w:r>
        <w:rPr>
          <w:rStyle w:val="Surname"/>
          <w:bdr w:val="dotted" w:sz="4" w:space="0" w:color="auto"/>
        </w:rPr>
        <w:t>Moore</w:t>
      </w:r>
      <w:r>
        <w:rPr>
          <w:bdr w:val="dotted" w:sz="4" w:space="0" w:color="auto"/>
        </w:rPr>
        <w:t xml:space="preserve"> </w:t>
      </w:r>
      <w:r>
        <w:rPr>
          <w:rStyle w:val="FirstName"/>
          <w:bdr w:val="dotted" w:sz="4" w:space="0" w:color="auto"/>
        </w:rPr>
        <w:t>JE</w:t>
      </w:r>
      <w:r>
        <w:t xml:space="preserve">, </w:t>
      </w:r>
      <w:r>
        <w:rPr>
          <w:rStyle w:val="Surname"/>
          <w:bdr w:val="dotted" w:sz="4" w:space="0" w:color="auto"/>
        </w:rPr>
        <w:t>Purcaro</w:t>
      </w:r>
      <w:r>
        <w:rPr>
          <w:bdr w:val="dotted" w:sz="4" w:space="0" w:color="auto"/>
        </w:rPr>
        <w:t xml:space="preserve"> </w:t>
      </w:r>
      <w:r>
        <w:rPr>
          <w:rStyle w:val="FirstName"/>
          <w:bdr w:val="dotted" w:sz="4" w:space="0" w:color="auto"/>
        </w:rPr>
        <w:t>MJ</w:t>
      </w:r>
      <w:r>
        <w:t xml:space="preserve">, et al. </w:t>
      </w:r>
      <w:r>
        <w:rPr>
          <w:rStyle w:val="ArticleTitle"/>
        </w:rPr>
        <w:t>Expanded encyclopaedias of DNA elements in the human and mouse genomes</w:t>
      </w:r>
      <w:r>
        <w:t xml:space="preserve">. </w:t>
      </w:r>
      <w:r>
        <w:rPr>
          <w:rStyle w:val="JournalTitle"/>
          <w:i/>
        </w:rPr>
        <w:t>Nature</w:t>
      </w:r>
      <w:r>
        <w:rPr>
          <w:i/>
        </w:rPr>
        <w:t>.</w:t>
      </w:r>
      <w:r>
        <w:t xml:space="preserve"> </w:t>
      </w:r>
      <w:r>
        <w:rPr>
          <w:rStyle w:val="Year"/>
        </w:rPr>
        <w:t>2020</w:t>
      </w:r>
      <w:r>
        <w:t>;</w:t>
      </w:r>
      <w:r>
        <w:rPr>
          <w:rStyle w:val="Volume"/>
        </w:rPr>
        <w:t>583</w:t>
      </w:r>
      <w:r>
        <w:t>(</w:t>
      </w:r>
      <w:r>
        <w:rPr>
          <w:rStyle w:val="Issue"/>
        </w:rPr>
        <w:t>7818</w:t>
      </w:r>
      <w:r>
        <w:t>):</w:t>
      </w:r>
      <w:r>
        <w:rPr>
          <w:rStyle w:val="Pages"/>
        </w:rPr>
        <w:t>699-710</w:t>
      </w:r>
      <w:r>
        <w:t>.&lt;/bib&gt;</w:t>
      </w:r>
    </w:p>
    <w:p w14:paraId="121354C5" w14:textId="5D471942" w:rsidR="00A11272" w:rsidRPr="005B70D5" w:rsidRDefault="005B70D5" w:rsidP="005B70D5">
      <w:pPr>
        <w:pStyle w:val="Bibentry"/>
      </w:pPr>
      <w:bookmarkStart w:id="12" w:name="bib9"/>
      <w:bookmarkEnd w:id="12"/>
      <w:r>
        <w:t>&lt;bib id="bib9" type="Periodical"&gt;&lt;number&gt;9.&lt;/number&gt;</w:t>
      </w:r>
      <w:r>
        <w:rPr>
          <w:rStyle w:val="Surname"/>
          <w:bdr w:val="dotted" w:sz="4" w:space="0" w:color="auto"/>
        </w:rPr>
        <w:t>Akama</w:t>
      </w:r>
      <w:r>
        <w:rPr>
          <w:bdr w:val="dotted" w:sz="4" w:space="0" w:color="auto"/>
        </w:rPr>
        <w:t xml:space="preserve"> </w:t>
      </w:r>
      <w:r>
        <w:rPr>
          <w:rStyle w:val="FirstName"/>
          <w:bdr w:val="dotted" w:sz="4" w:space="0" w:color="auto"/>
        </w:rPr>
        <w:t>TO</w:t>
      </w:r>
      <w:r>
        <w:t xml:space="preserve">, </w:t>
      </w:r>
      <w:r>
        <w:rPr>
          <w:rStyle w:val="Surname"/>
          <w:bdr w:val="dotted" w:sz="4" w:space="0" w:color="auto"/>
        </w:rPr>
        <w:t>Nakayama</w:t>
      </w:r>
      <w:r>
        <w:rPr>
          <w:bdr w:val="dotted" w:sz="4" w:space="0" w:color="auto"/>
        </w:rPr>
        <w:t xml:space="preserve"> </w:t>
      </w:r>
      <w:r>
        <w:rPr>
          <w:rStyle w:val="FirstName"/>
          <w:bdr w:val="dotted" w:sz="4" w:space="0" w:color="auto"/>
        </w:rPr>
        <w:t>J</w:t>
      </w:r>
      <w:r>
        <w:t xml:space="preserve">, </w:t>
      </w:r>
      <w:r>
        <w:rPr>
          <w:rStyle w:val="Surname"/>
          <w:bdr w:val="dotted" w:sz="4" w:space="0" w:color="auto"/>
        </w:rPr>
        <w:t>Nishida</w:t>
      </w:r>
      <w:r>
        <w:rPr>
          <w:bdr w:val="dotted" w:sz="4" w:space="0" w:color="auto"/>
        </w:rPr>
        <w:t xml:space="preserve"> </w:t>
      </w:r>
      <w:r>
        <w:rPr>
          <w:rStyle w:val="FirstName"/>
          <w:bdr w:val="dotted" w:sz="4" w:space="0" w:color="auto"/>
        </w:rPr>
        <w:t>K</w:t>
      </w:r>
      <w:r>
        <w:t xml:space="preserve">, et al. </w:t>
      </w:r>
      <w:r>
        <w:rPr>
          <w:rStyle w:val="ArticleTitle"/>
        </w:rPr>
        <w:t>Human corneal GlcNac 6-O-sulfotransferase and mouse intestinal GlcNac 6-O-sulfotransferase both produce keratan sulfate</w:t>
      </w:r>
      <w:r>
        <w:t xml:space="preserve">. </w:t>
      </w:r>
      <w:r>
        <w:rPr>
          <w:rStyle w:val="JournalTitle"/>
          <w:i/>
        </w:rPr>
        <w:t>J Biol Chem</w:t>
      </w:r>
      <w:r>
        <w:rPr>
          <w:i/>
        </w:rPr>
        <w:t>.</w:t>
      </w:r>
      <w:r>
        <w:t xml:space="preserve"> </w:t>
      </w:r>
      <w:r>
        <w:rPr>
          <w:rStyle w:val="Year"/>
        </w:rPr>
        <w:t>2001</w:t>
      </w:r>
      <w:r>
        <w:t>;</w:t>
      </w:r>
      <w:r>
        <w:rPr>
          <w:rStyle w:val="Volume"/>
        </w:rPr>
        <w:t>276</w:t>
      </w:r>
      <w:r>
        <w:t>(</w:t>
      </w:r>
      <w:r>
        <w:rPr>
          <w:rStyle w:val="Issue"/>
        </w:rPr>
        <w:t>19</w:t>
      </w:r>
      <w:r>
        <w:t>):</w:t>
      </w:r>
      <w:r>
        <w:rPr>
          <w:rStyle w:val="Pages"/>
        </w:rPr>
        <w:t>16271-16278</w:t>
      </w:r>
      <w:r>
        <w:t>.&lt;/bib&gt;</w:t>
      </w:r>
    </w:p>
    <w:p w14:paraId="0AA7CCDB" w14:textId="0BA0DE6F" w:rsidR="00A11272" w:rsidRPr="005B70D5" w:rsidRDefault="005B70D5" w:rsidP="005B70D5">
      <w:pPr>
        <w:pStyle w:val="Bibentry"/>
      </w:pPr>
      <w:bookmarkStart w:id="13" w:name="bib10"/>
      <w:bookmarkEnd w:id="13"/>
      <w:r>
        <w:t>&lt;bib id="bib10" type="Periodical"&gt;&lt;number&gt;10.&lt;/number&gt;</w:t>
      </w:r>
      <w:r>
        <w:rPr>
          <w:rStyle w:val="Surname"/>
          <w:bdr w:val="dotted" w:sz="4" w:space="0" w:color="auto"/>
        </w:rPr>
        <w:t>Schmedt</w:t>
      </w:r>
      <w:r>
        <w:rPr>
          <w:bdr w:val="dotted" w:sz="4" w:space="0" w:color="auto"/>
        </w:rPr>
        <w:t xml:space="preserve"> </w:t>
      </w:r>
      <w:r>
        <w:rPr>
          <w:rStyle w:val="FirstName"/>
          <w:bdr w:val="dotted" w:sz="4" w:space="0" w:color="auto"/>
        </w:rPr>
        <w:t>T</w:t>
      </w:r>
      <w:r>
        <w:t xml:space="preserve">, </w:t>
      </w:r>
      <w:r>
        <w:rPr>
          <w:rStyle w:val="Surname"/>
          <w:bdr w:val="dotted" w:sz="4" w:space="0" w:color="auto"/>
        </w:rPr>
        <w:t>Chen</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TT</w:t>
      </w:r>
      <w:r>
        <w:t xml:space="preserve">, </w:t>
      </w:r>
      <w:r>
        <w:rPr>
          <w:rStyle w:val="Surname"/>
          <w:bdr w:val="dotted" w:sz="4" w:space="0" w:color="auto"/>
        </w:rPr>
        <w:t>Li</w:t>
      </w:r>
      <w:r>
        <w:rPr>
          <w:bdr w:val="dotted" w:sz="4" w:space="0" w:color="auto"/>
        </w:rPr>
        <w:t xml:space="preserve"> </w:t>
      </w:r>
      <w:r>
        <w:rPr>
          <w:rStyle w:val="FirstName"/>
          <w:bdr w:val="dotted" w:sz="4" w:space="0" w:color="auto"/>
        </w:rPr>
        <w:t>S</w:t>
      </w:r>
      <w:r>
        <w:t xml:space="preserve">, </w:t>
      </w:r>
      <w:r>
        <w:rPr>
          <w:rStyle w:val="Surname"/>
          <w:bdr w:val="dotted" w:sz="4" w:space="0" w:color="auto"/>
        </w:rPr>
        <w:t>Bonanno</w:t>
      </w:r>
      <w:r>
        <w:rPr>
          <w:bdr w:val="dotted" w:sz="4" w:space="0" w:color="auto"/>
        </w:rPr>
        <w:t xml:space="preserve"> </w:t>
      </w:r>
      <w:r>
        <w:rPr>
          <w:rStyle w:val="FirstName"/>
          <w:bdr w:val="dotted" w:sz="4" w:space="0" w:color="auto"/>
        </w:rPr>
        <w:t>JA</w:t>
      </w:r>
      <w:r>
        <w:t xml:space="preserve">, </w:t>
      </w:r>
      <w:r>
        <w:rPr>
          <w:rStyle w:val="Surname"/>
          <w:bdr w:val="dotted" w:sz="4" w:space="0" w:color="auto"/>
        </w:rPr>
        <w:t>Jurkunas</w:t>
      </w:r>
      <w:r>
        <w:rPr>
          <w:bdr w:val="dotted" w:sz="4" w:space="0" w:color="auto"/>
        </w:rPr>
        <w:t xml:space="preserve"> </w:t>
      </w:r>
      <w:r>
        <w:rPr>
          <w:rStyle w:val="FirstName"/>
          <w:bdr w:val="dotted" w:sz="4" w:space="0" w:color="auto"/>
        </w:rPr>
        <w:t>UV.</w:t>
      </w:r>
      <w:r>
        <w:t xml:space="preserve"> </w:t>
      </w:r>
      <w:r>
        <w:rPr>
          <w:rStyle w:val="ArticleTitle"/>
        </w:rPr>
        <w:t>Telomerase immortalization of human corneal endothelial cells yields functional hexagonal monolayers</w:t>
      </w:r>
      <w:r>
        <w:t xml:space="preserve">. </w:t>
      </w:r>
      <w:r>
        <w:rPr>
          <w:rStyle w:val="JournalTitle"/>
          <w:i/>
        </w:rPr>
        <w:t>PLoS One</w:t>
      </w:r>
      <w:r>
        <w:rPr>
          <w:i/>
        </w:rPr>
        <w:t>.</w:t>
      </w:r>
      <w:r>
        <w:t xml:space="preserve"> </w:t>
      </w:r>
      <w:r>
        <w:rPr>
          <w:rStyle w:val="Year"/>
        </w:rPr>
        <w:t>2012</w:t>
      </w:r>
      <w:r>
        <w:t>;</w:t>
      </w:r>
      <w:r>
        <w:rPr>
          <w:rStyle w:val="Volume"/>
        </w:rPr>
        <w:t>7</w:t>
      </w:r>
      <w:r>
        <w:t>(</w:t>
      </w:r>
      <w:r>
        <w:rPr>
          <w:rStyle w:val="Issue"/>
        </w:rPr>
        <w:t>12</w:t>
      </w:r>
      <w:r>
        <w:t>):</w:t>
      </w:r>
      <w:r>
        <w:rPr>
          <w:rStyle w:val="Pages"/>
        </w:rPr>
        <w:t>e51427</w:t>
      </w:r>
      <w:r>
        <w:t>.&lt;/bib&gt;</w:t>
      </w:r>
    </w:p>
    <w:p w14:paraId="626AA561" w14:textId="3581F98E" w:rsidR="00A11272" w:rsidRPr="005B70D5" w:rsidRDefault="005B70D5" w:rsidP="005B70D5">
      <w:pPr>
        <w:pStyle w:val="Bibentry"/>
      </w:pPr>
      <w:bookmarkStart w:id="14" w:name="bib11"/>
      <w:bookmarkEnd w:id="14"/>
      <w:r>
        <w:t>&lt;bib id="bib11" type="Periodical"&gt;&lt;number&gt;11.&lt;/number&gt;</w:t>
      </w:r>
      <w:r>
        <w:rPr>
          <w:rStyle w:val="Surname"/>
          <w:bdr w:val="dotted" w:sz="4" w:space="0" w:color="auto"/>
        </w:rPr>
        <w:t>Jester</w:t>
      </w:r>
      <w:r>
        <w:rPr>
          <w:bdr w:val="dotted" w:sz="4" w:space="0" w:color="auto"/>
        </w:rPr>
        <w:t xml:space="preserve"> </w:t>
      </w:r>
      <w:r>
        <w:rPr>
          <w:rStyle w:val="FirstName"/>
          <w:bdr w:val="dotted" w:sz="4" w:space="0" w:color="auto"/>
        </w:rPr>
        <w:t>JV</w:t>
      </w:r>
      <w:r>
        <w:t xml:space="preserve">, </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Fisher</w:t>
      </w:r>
      <w:r>
        <w:rPr>
          <w:bdr w:val="dotted" w:sz="4" w:space="0" w:color="auto"/>
        </w:rPr>
        <w:t xml:space="preserve"> </w:t>
      </w:r>
      <w:r>
        <w:rPr>
          <w:rStyle w:val="FirstName"/>
          <w:bdr w:val="dotted" w:sz="4" w:space="0" w:color="auto"/>
        </w:rPr>
        <w:t>S</w:t>
      </w:r>
      <w:r>
        <w:t xml:space="preserve">, et al. </w:t>
      </w:r>
      <w:r>
        <w:rPr>
          <w:rStyle w:val="ArticleTitle"/>
        </w:rPr>
        <w:t>Myofibroblast differentiation of normal human keratocytes and hTERT, extended-life human corneal fibroblasts</w:t>
      </w:r>
      <w:r>
        <w:t xml:space="preserve">. </w:t>
      </w:r>
      <w:r>
        <w:rPr>
          <w:rStyle w:val="JournalTitle"/>
          <w:i/>
        </w:rPr>
        <w:t>Invest Ophthalmol Vis Sci</w:t>
      </w:r>
      <w:r>
        <w:rPr>
          <w:i/>
        </w:rPr>
        <w:t>.</w:t>
      </w:r>
      <w:r>
        <w:t xml:space="preserve"> </w:t>
      </w:r>
      <w:r>
        <w:rPr>
          <w:rStyle w:val="Year"/>
        </w:rPr>
        <w:t>2003</w:t>
      </w:r>
      <w:r>
        <w:t>;</w:t>
      </w:r>
      <w:r>
        <w:rPr>
          <w:rStyle w:val="Volume"/>
        </w:rPr>
        <w:t>44</w:t>
      </w:r>
      <w:r>
        <w:t>(</w:t>
      </w:r>
      <w:r>
        <w:rPr>
          <w:rStyle w:val="Issue"/>
        </w:rPr>
        <w:t>5</w:t>
      </w:r>
      <w:r>
        <w:t>):</w:t>
      </w:r>
      <w:r>
        <w:rPr>
          <w:rStyle w:val="Pages"/>
        </w:rPr>
        <w:t>1850-1858</w:t>
      </w:r>
      <w:r>
        <w:t>.&lt;/bib&gt;</w:t>
      </w:r>
    </w:p>
    <w:p w14:paraId="30576071" w14:textId="564F7D06" w:rsidR="00A11272" w:rsidRPr="005B70D5" w:rsidRDefault="005B70D5" w:rsidP="005B70D5">
      <w:pPr>
        <w:pStyle w:val="Bibentry"/>
      </w:pPr>
      <w:bookmarkStart w:id="15" w:name="bib12"/>
      <w:bookmarkEnd w:id="15"/>
      <w:r>
        <w:t>&lt;bib id="bib12" type="Periodical"&gt;&lt;number&gt;12.&lt;/number&gt;</w:t>
      </w:r>
      <w:r>
        <w:rPr>
          <w:rStyle w:val="Surname"/>
          <w:bdr w:val="dotted" w:sz="4" w:space="0" w:color="auto"/>
        </w:rPr>
        <w:t>Tomatsu</w:t>
      </w:r>
      <w:r>
        <w:rPr>
          <w:bdr w:val="dotted" w:sz="4" w:space="0" w:color="auto"/>
        </w:rPr>
        <w:t xml:space="preserve"> </w:t>
      </w:r>
      <w:r>
        <w:rPr>
          <w:rStyle w:val="FirstName"/>
          <w:bdr w:val="dotted" w:sz="4" w:space="0" w:color="auto"/>
        </w:rPr>
        <w:t>S</w:t>
      </w:r>
      <w:r>
        <w:t xml:space="preserve">, </w:t>
      </w:r>
      <w:r>
        <w:rPr>
          <w:rStyle w:val="Surname"/>
          <w:bdr w:val="dotted" w:sz="4" w:space="0" w:color="auto"/>
        </w:rPr>
        <w:t>Shimada</w:t>
      </w:r>
      <w:r>
        <w:rPr>
          <w:bdr w:val="dotted" w:sz="4" w:space="0" w:color="auto"/>
        </w:rPr>
        <w:t xml:space="preserve"> </w:t>
      </w:r>
      <w:r>
        <w:rPr>
          <w:rStyle w:val="FirstName"/>
          <w:bdr w:val="dotted" w:sz="4" w:space="0" w:color="auto"/>
        </w:rPr>
        <w:t>T</w:t>
      </w:r>
      <w:r>
        <w:t xml:space="preserve">, </w:t>
      </w:r>
      <w:r>
        <w:rPr>
          <w:rStyle w:val="Surname"/>
          <w:bdr w:val="dotted" w:sz="4" w:space="0" w:color="auto"/>
        </w:rPr>
        <w:t>Mason</w:t>
      </w:r>
      <w:r>
        <w:rPr>
          <w:bdr w:val="dotted" w:sz="4" w:space="0" w:color="auto"/>
        </w:rPr>
        <w:t xml:space="preserve"> </w:t>
      </w:r>
      <w:r>
        <w:rPr>
          <w:rStyle w:val="FirstName"/>
          <w:bdr w:val="dotted" w:sz="4" w:space="0" w:color="auto"/>
        </w:rPr>
        <w:t>RW</w:t>
      </w:r>
      <w:r>
        <w:t xml:space="preserve">, et al. </w:t>
      </w:r>
      <w:r>
        <w:rPr>
          <w:rStyle w:val="ArticleTitle"/>
        </w:rPr>
        <w:t>Establishment of glycosaminoglycan assays for mucopolysaccharidoses</w:t>
      </w:r>
      <w:r>
        <w:t xml:space="preserve">. </w:t>
      </w:r>
      <w:r>
        <w:rPr>
          <w:rStyle w:val="JournalTitle"/>
          <w:i/>
        </w:rPr>
        <w:t>Metabolites</w:t>
      </w:r>
      <w:r>
        <w:rPr>
          <w:i/>
        </w:rPr>
        <w:t>.</w:t>
      </w:r>
      <w:r>
        <w:t xml:space="preserve"> </w:t>
      </w:r>
      <w:r>
        <w:rPr>
          <w:rStyle w:val="Year"/>
        </w:rPr>
        <w:t>2014</w:t>
      </w:r>
      <w:r>
        <w:t>;</w:t>
      </w:r>
      <w:r>
        <w:rPr>
          <w:rStyle w:val="Volume"/>
        </w:rPr>
        <w:t>4</w:t>
      </w:r>
      <w:r>
        <w:t>(</w:t>
      </w:r>
      <w:r>
        <w:rPr>
          <w:rStyle w:val="Issue"/>
        </w:rPr>
        <w:t>3</w:t>
      </w:r>
      <w:r>
        <w:t>):</w:t>
      </w:r>
      <w:r>
        <w:rPr>
          <w:rStyle w:val="Pages"/>
        </w:rPr>
        <w:t>655-679</w:t>
      </w:r>
      <w:r>
        <w:t>.&lt;/bib&gt;</w:t>
      </w:r>
    </w:p>
    <w:p w14:paraId="231B9F9A" w14:textId="427C311C" w:rsidR="00A11272" w:rsidRPr="005B70D5" w:rsidRDefault="005B70D5" w:rsidP="005B70D5">
      <w:pPr>
        <w:pStyle w:val="Bibentry"/>
      </w:pPr>
      <w:bookmarkStart w:id="16" w:name="bib13"/>
      <w:bookmarkEnd w:id="16"/>
      <w:r>
        <w:t>&lt;bib id="bib13" type="Periodical"&gt;&lt;number&gt;13.&lt;/number&gt;</w:t>
      </w:r>
      <w:r>
        <w:rPr>
          <w:rStyle w:val="Surname"/>
          <w:bdr w:val="dotted" w:sz="4" w:space="0" w:color="auto"/>
        </w:rPr>
        <w:t>Kubaski</w:t>
      </w:r>
      <w:r>
        <w:rPr>
          <w:bdr w:val="dotted" w:sz="4" w:space="0" w:color="auto"/>
        </w:rPr>
        <w:t xml:space="preserve"> </w:t>
      </w:r>
      <w:r>
        <w:rPr>
          <w:rStyle w:val="FirstName"/>
          <w:bdr w:val="dotted" w:sz="4" w:space="0" w:color="auto"/>
        </w:rPr>
        <w:t>F</w:t>
      </w:r>
      <w:r>
        <w:t xml:space="preserve">, </w:t>
      </w:r>
      <w:r>
        <w:rPr>
          <w:rStyle w:val="Surname"/>
          <w:bdr w:val="dotted" w:sz="4" w:space="0" w:color="auto"/>
        </w:rPr>
        <w:t>Suzuki</w:t>
      </w:r>
      <w:r>
        <w:rPr>
          <w:bdr w:val="dotted" w:sz="4" w:space="0" w:color="auto"/>
        </w:rPr>
        <w:t xml:space="preserve"> </w:t>
      </w:r>
      <w:r>
        <w:rPr>
          <w:rStyle w:val="FirstName"/>
          <w:bdr w:val="dotted" w:sz="4" w:space="0" w:color="auto"/>
        </w:rPr>
        <w:t>Y</w:t>
      </w:r>
      <w:r>
        <w:t xml:space="preserve">, </w:t>
      </w:r>
      <w:r>
        <w:rPr>
          <w:rStyle w:val="Surname"/>
          <w:bdr w:val="dotted" w:sz="4" w:space="0" w:color="auto"/>
        </w:rPr>
        <w:t>Orii</w:t>
      </w:r>
      <w:r>
        <w:rPr>
          <w:bdr w:val="dotted" w:sz="4" w:space="0" w:color="auto"/>
        </w:rPr>
        <w:t xml:space="preserve"> </w:t>
      </w:r>
      <w:r>
        <w:rPr>
          <w:rStyle w:val="FirstName"/>
          <w:bdr w:val="dotted" w:sz="4" w:space="0" w:color="auto"/>
        </w:rPr>
        <w:t>K</w:t>
      </w:r>
      <w:r>
        <w:t xml:space="preserve">, et al. </w:t>
      </w:r>
      <w:r>
        <w:rPr>
          <w:rStyle w:val="ArticleTitle"/>
        </w:rPr>
        <w:t>Glycosaminoglycan levels in dried blood spots of patients with mucopolysaccharidoses and mucolipidoses</w:t>
      </w:r>
      <w:r>
        <w:t xml:space="preserve">. </w:t>
      </w:r>
      <w:r>
        <w:rPr>
          <w:rStyle w:val="JournalTitle"/>
          <w:i/>
        </w:rPr>
        <w:t>Mol Genet Metab</w:t>
      </w:r>
      <w:r>
        <w:rPr>
          <w:i/>
        </w:rPr>
        <w:t>.</w:t>
      </w:r>
      <w:r>
        <w:t xml:space="preserve"> </w:t>
      </w:r>
      <w:r>
        <w:rPr>
          <w:rStyle w:val="Year"/>
        </w:rPr>
        <w:t>2017</w:t>
      </w:r>
      <w:r>
        <w:t>;</w:t>
      </w:r>
      <w:r>
        <w:rPr>
          <w:rStyle w:val="Volume"/>
        </w:rPr>
        <w:t>120</w:t>
      </w:r>
      <w:r>
        <w:t>(</w:t>
      </w:r>
      <w:r>
        <w:rPr>
          <w:rStyle w:val="Issue"/>
        </w:rPr>
        <w:t>3</w:t>
      </w:r>
      <w:r>
        <w:t>):</w:t>
      </w:r>
      <w:r>
        <w:rPr>
          <w:rStyle w:val="Pages"/>
        </w:rPr>
        <w:t>247-254</w:t>
      </w:r>
      <w:r>
        <w:t>.&lt;/bib&gt;</w:t>
      </w:r>
    </w:p>
    <w:p w14:paraId="75C69489" w14:textId="3174E886" w:rsidR="00A11272" w:rsidRPr="005B70D5" w:rsidRDefault="005B70D5" w:rsidP="005B70D5">
      <w:pPr>
        <w:pStyle w:val="Bibentry"/>
      </w:pPr>
      <w:bookmarkStart w:id="17" w:name="bib14"/>
      <w:bookmarkEnd w:id="17"/>
      <w:r>
        <w:t>&lt;bib id="bib14" type="Periodical"&gt;&lt;number&gt;14.&lt;/number&gt;</w:t>
      </w:r>
      <w:r>
        <w:rPr>
          <w:rStyle w:val="Surname"/>
          <w:bdr w:val="dotted" w:sz="4" w:space="0" w:color="auto"/>
        </w:rPr>
        <w:t>Tavtigian</w:t>
      </w:r>
      <w:r>
        <w:rPr>
          <w:bdr w:val="dotted" w:sz="4" w:space="0" w:color="auto"/>
        </w:rPr>
        <w:t xml:space="preserve"> </w:t>
      </w:r>
      <w:r>
        <w:rPr>
          <w:rStyle w:val="FirstName"/>
          <w:bdr w:val="dotted" w:sz="4" w:space="0" w:color="auto"/>
        </w:rPr>
        <w:t>SV</w:t>
      </w:r>
      <w:r>
        <w:t xml:space="preserve">, </w:t>
      </w:r>
      <w:r>
        <w:rPr>
          <w:rStyle w:val="Surname"/>
          <w:bdr w:val="dotted" w:sz="4" w:space="0" w:color="auto"/>
        </w:rPr>
        <w:t>Greenblatt</w:t>
      </w:r>
      <w:r>
        <w:rPr>
          <w:bdr w:val="dotted" w:sz="4" w:space="0" w:color="auto"/>
        </w:rPr>
        <w:t xml:space="preserve"> </w:t>
      </w:r>
      <w:r>
        <w:rPr>
          <w:rStyle w:val="FirstName"/>
          <w:bdr w:val="dotted" w:sz="4" w:space="0" w:color="auto"/>
        </w:rPr>
        <w:t>MS</w:t>
      </w:r>
      <w:r>
        <w:t xml:space="preserve">, </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et al. </w:t>
      </w:r>
      <w:r>
        <w:rPr>
          <w:rStyle w:val="ArticleTitle"/>
        </w:rPr>
        <w:t>Modeling the ACMG/AMP variant classification guidelines as a Bayesian classification framework</w:t>
      </w:r>
      <w:r>
        <w:t xml:space="preserve">. </w:t>
      </w:r>
      <w:r>
        <w:rPr>
          <w:rStyle w:val="JournalTitle"/>
          <w:i/>
        </w:rPr>
        <w:t>Genet Med</w:t>
      </w:r>
      <w:r>
        <w:rPr>
          <w:i/>
        </w:rPr>
        <w:t>.</w:t>
      </w:r>
      <w:r>
        <w:t xml:space="preserve"> </w:t>
      </w:r>
      <w:r>
        <w:rPr>
          <w:rStyle w:val="Year"/>
        </w:rPr>
        <w:t>2018</w:t>
      </w:r>
      <w:r>
        <w:t>;</w:t>
      </w:r>
      <w:r>
        <w:rPr>
          <w:rStyle w:val="Volume"/>
        </w:rPr>
        <w:t>20</w:t>
      </w:r>
      <w:r>
        <w:t>(</w:t>
      </w:r>
      <w:r>
        <w:rPr>
          <w:rStyle w:val="Issue"/>
        </w:rPr>
        <w:t>9</w:t>
      </w:r>
      <w:r>
        <w:t>):</w:t>
      </w:r>
      <w:r>
        <w:rPr>
          <w:rStyle w:val="Pages"/>
        </w:rPr>
        <w:t>1054-1060</w:t>
      </w:r>
      <w:r>
        <w:t>.&lt;/bib&gt;</w:t>
      </w:r>
    </w:p>
    <w:p w14:paraId="5E3D3172" w14:textId="6D091EFD" w:rsidR="00A11272" w:rsidRPr="005B70D5" w:rsidRDefault="005B70D5" w:rsidP="005B70D5">
      <w:pPr>
        <w:pStyle w:val="Bibentry"/>
      </w:pPr>
      <w:bookmarkStart w:id="18" w:name="bib15"/>
      <w:bookmarkEnd w:id="18"/>
      <w:r>
        <w:t>&lt;bib id="bib15" type="Periodical"&gt;&lt;number&gt;15.&lt;/number&gt;</w:t>
      </w:r>
      <w:r>
        <w:rPr>
          <w:rStyle w:val="Surname"/>
          <w:bdr w:val="dotted" w:sz="4" w:space="0" w:color="auto"/>
        </w:rPr>
        <w:t>Brnich</w:t>
      </w:r>
      <w:r>
        <w:rPr>
          <w:bdr w:val="dotted" w:sz="4" w:space="0" w:color="auto"/>
        </w:rPr>
        <w:t xml:space="preserve"> </w:t>
      </w:r>
      <w:r>
        <w:rPr>
          <w:rStyle w:val="FirstName"/>
          <w:bdr w:val="dotted" w:sz="4" w:space="0" w:color="auto"/>
        </w:rPr>
        <w:t>SE</w:t>
      </w:r>
      <w:r>
        <w:t xml:space="preserve">, </w:t>
      </w:r>
      <w:r>
        <w:rPr>
          <w:rStyle w:val="Surname"/>
          <w:bdr w:val="dotted" w:sz="4" w:space="0" w:color="auto"/>
        </w:rPr>
        <w:t>Rivera-Munoz</w:t>
      </w:r>
      <w:r>
        <w:rPr>
          <w:bdr w:val="dotted" w:sz="4" w:space="0" w:color="auto"/>
        </w:rPr>
        <w:t xml:space="preserve"> </w:t>
      </w:r>
      <w:r>
        <w:rPr>
          <w:rStyle w:val="FirstName"/>
          <w:bdr w:val="dotted" w:sz="4" w:space="0" w:color="auto"/>
        </w:rPr>
        <w:t>EA</w:t>
      </w:r>
      <w:r>
        <w:t xml:space="preserve">, </w:t>
      </w:r>
      <w:r>
        <w:rPr>
          <w:rStyle w:val="Surname"/>
          <w:bdr w:val="dotted" w:sz="4" w:space="0" w:color="auto"/>
        </w:rPr>
        <w:t>Berg</w:t>
      </w:r>
      <w:r>
        <w:rPr>
          <w:bdr w:val="dotted" w:sz="4" w:space="0" w:color="auto"/>
        </w:rPr>
        <w:t xml:space="preserve"> </w:t>
      </w:r>
      <w:r>
        <w:rPr>
          <w:rStyle w:val="FirstName"/>
          <w:bdr w:val="dotted" w:sz="4" w:space="0" w:color="auto"/>
        </w:rPr>
        <w:t>JS.</w:t>
      </w:r>
      <w:r>
        <w:t xml:space="preserve"> </w:t>
      </w:r>
      <w:r>
        <w:rPr>
          <w:rStyle w:val="ArticleTitle"/>
        </w:rPr>
        <w:t>Quantifying the potential of functional evidence to reclassify variants of uncertain significance in the categorical and Bayesian interpretation frameworks</w:t>
      </w:r>
      <w:r>
        <w:t xml:space="preserve">. </w:t>
      </w:r>
      <w:r>
        <w:rPr>
          <w:rStyle w:val="JournalTitle"/>
          <w:i/>
        </w:rPr>
        <w:t>Hum Mutat</w:t>
      </w:r>
      <w:r>
        <w:rPr>
          <w:i/>
        </w:rPr>
        <w:t>.</w:t>
      </w:r>
      <w:r>
        <w:t xml:space="preserve"> </w:t>
      </w:r>
      <w:r>
        <w:rPr>
          <w:rStyle w:val="Year"/>
        </w:rPr>
        <w:t>2018</w:t>
      </w:r>
      <w:r>
        <w:t>;</w:t>
      </w:r>
      <w:r>
        <w:rPr>
          <w:rStyle w:val="Volume"/>
        </w:rPr>
        <w:t>39</w:t>
      </w:r>
      <w:r>
        <w:t>(</w:t>
      </w:r>
      <w:r>
        <w:rPr>
          <w:rStyle w:val="Issue"/>
        </w:rPr>
        <w:t>11</w:t>
      </w:r>
      <w:r>
        <w:t>):</w:t>
      </w:r>
      <w:r>
        <w:rPr>
          <w:rStyle w:val="Pages"/>
        </w:rPr>
        <w:t>1531-1541</w:t>
      </w:r>
      <w:r>
        <w:t>.&lt;/bib&gt;</w:t>
      </w:r>
    </w:p>
    <w:p w14:paraId="6C9ECEFC" w14:textId="11F6C69A" w:rsidR="00A11272" w:rsidRPr="005B70D5" w:rsidRDefault="005B70D5" w:rsidP="005B70D5">
      <w:pPr>
        <w:pStyle w:val="Bibentry"/>
      </w:pPr>
      <w:bookmarkStart w:id="19" w:name="bib16"/>
      <w:bookmarkEnd w:id="19"/>
      <w:r>
        <w:t>&lt;bib id="bib16" type="Periodical"&gt;&lt;number&gt;16.&lt;/number&gt;</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w:t>
      </w:r>
      <w:r>
        <w:rPr>
          <w:rStyle w:val="Surname"/>
          <w:bdr w:val="dotted" w:sz="4" w:space="0" w:color="auto"/>
        </w:rPr>
        <w:t>Biesecker</w:t>
      </w:r>
      <w:r>
        <w:rPr>
          <w:bdr w:val="dotted" w:sz="4" w:space="0" w:color="auto"/>
        </w:rPr>
        <w:t xml:space="preserve"> </w:t>
      </w:r>
      <w:r>
        <w:rPr>
          <w:rStyle w:val="FirstName"/>
          <w:bdr w:val="dotted" w:sz="4" w:space="0" w:color="auto"/>
        </w:rPr>
        <w:t>LG</w:t>
      </w:r>
      <w:r>
        <w:t xml:space="preserve">, </w:t>
      </w:r>
      <w:r>
        <w:rPr>
          <w:rStyle w:val="Surname"/>
          <w:bdr w:val="dotted" w:sz="4" w:space="0" w:color="auto"/>
        </w:rPr>
        <w:t>Rehm</w:t>
      </w:r>
      <w:r>
        <w:rPr>
          <w:bdr w:val="dotted" w:sz="4" w:space="0" w:color="auto"/>
        </w:rPr>
        <w:t xml:space="preserve"> </w:t>
      </w:r>
      <w:r>
        <w:rPr>
          <w:rStyle w:val="FirstName"/>
          <w:bdr w:val="dotted" w:sz="4" w:space="0" w:color="auto"/>
        </w:rPr>
        <w:t>HL.</w:t>
      </w:r>
      <w:r>
        <w:t xml:space="preserve"> </w:t>
      </w:r>
      <w:r>
        <w:rPr>
          <w:rStyle w:val="ArticleTitle"/>
        </w:rPr>
        <w:t>Overview of Specifications to the ACMG/AMP Variant Interpretation Guidelines</w:t>
      </w:r>
      <w:r>
        <w:t xml:space="preserve">. </w:t>
      </w:r>
      <w:r>
        <w:rPr>
          <w:rStyle w:val="JournalTitle"/>
          <w:i/>
        </w:rPr>
        <w:t>Curr Protoc Hum Genet</w:t>
      </w:r>
      <w:r>
        <w:rPr>
          <w:i/>
        </w:rPr>
        <w:t>.</w:t>
      </w:r>
      <w:r>
        <w:t xml:space="preserve"> </w:t>
      </w:r>
      <w:r>
        <w:rPr>
          <w:rStyle w:val="Year"/>
        </w:rPr>
        <w:t>2019</w:t>
      </w:r>
      <w:r>
        <w:t>;</w:t>
      </w:r>
      <w:r>
        <w:rPr>
          <w:rStyle w:val="Volume"/>
        </w:rPr>
        <w:t>103</w:t>
      </w:r>
      <w:r>
        <w:t>(</w:t>
      </w:r>
      <w:r>
        <w:rPr>
          <w:rStyle w:val="Issue"/>
        </w:rPr>
        <w:t>1</w:t>
      </w:r>
      <w:r>
        <w:t>):</w:t>
      </w:r>
      <w:r>
        <w:rPr>
          <w:rStyle w:val="Pages"/>
        </w:rPr>
        <w:t>e93</w:t>
      </w:r>
      <w:r>
        <w:t>.&lt;/bib&gt;</w:t>
      </w:r>
    </w:p>
    <w:p w14:paraId="23777AF5" w14:textId="432DAAA2" w:rsidR="00A11272" w:rsidRPr="005B70D5" w:rsidRDefault="005B70D5" w:rsidP="005B70D5">
      <w:pPr>
        <w:pStyle w:val="Bibentry"/>
      </w:pPr>
      <w:bookmarkStart w:id="20" w:name="bib17"/>
      <w:bookmarkEnd w:id="20"/>
      <w:r>
        <w:t>&lt;bib id="bib17" type="Periodical"&gt;&lt;number&gt;17.&lt;/number&gt;</w:t>
      </w:r>
      <w:r>
        <w:rPr>
          <w:rStyle w:val="Surname"/>
          <w:bdr w:val="dotted" w:sz="4" w:space="0" w:color="auto"/>
        </w:rPr>
        <w:t>Akama</w:t>
      </w:r>
      <w:r>
        <w:rPr>
          <w:bdr w:val="dotted" w:sz="4" w:space="0" w:color="auto"/>
        </w:rPr>
        <w:t xml:space="preserve"> </w:t>
      </w:r>
      <w:r>
        <w:rPr>
          <w:rStyle w:val="FirstName"/>
          <w:bdr w:val="dotted" w:sz="4" w:space="0" w:color="auto"/>
        </w:rPr>
        <w:t>TO</w:t>
      </w:r>
      <w:r>
        <w:t xml:space="preserve">, </w:t>
      </w:r>
      <w:r>
        <w:rPr>
          <w:rStyle w:val="Surname"/>
          <w:bdr w:val="dotted" w:sz="4" w:space="0" w:color="auto"/>
        </w:rPr>
        <w:t>Nishida</w:t>
      </w:r>
      <w:r>
        <w:rPr>
          <w:bdr w:val="dotted" w:sz="4" w:space="0" w:color="auto"/>
        </w:rPr>
        <w:t xml:space="preserve"> </w:t>
      </w:r>
      <w:r>
        <w:rPr>
          <w:rStyle w:val="FirstName"/>
          <w:bdr w:val="dotted" w:sz="4" w:space="0" w:color="auto"/>
        </w:rPr>
        <w:t>K</w:t>
      </w:r>
      <w:r>
        <w:t xml:space="preserve">, </w:t>
      </w:r>
      <w:r>
        <w:rPr>
          <w:rStyle w:val="Surname"/>
          <w:bdr w:val="dotted" w:sz="4" w:space="0" w:color="auto"/>
        </w:rPr>
        <w:t>Nakayama</w:t>
      </w:r>
      <w:r>
        <w:rPr>
          <w:bdr w:val="dotted" w:sz="4" w:space="0" w:color="auto"/>
        </w:rPr>
        <w:t xml:space="preserve"> </w:t>
      </w:r>
      <w:r>
        <w:rPr>
          <w:rStyle w:val="FirstName"/>
          <w:bdr w:val="dotted" w:sz="4" w:space="0" w:color="auto"/>
        </w:rPr>
        <w:t>J</w:t>
      </w:r>
      <w:r>
        <w:t xml:space="preserve">, et al. </w:t>
      </w:r>
      <w:r>
        <w:rPr>
          <w:rStyle w:val="ArticleTitle"/>
        </w:rPr>
        <w:t>Macular corneal dystrophy type I and type II are caused by distinct mutations in a new sulphotransferase gene</w:t>
      </w:r>
      <w:r>
        <w:t xml:space="preserve">. </w:t>
      </w:r>
      <w:r>
        <w:rPr>
          <w:rStyle w:val="JournalTitle"/>
          <w:i/>
        </w:rPr>
        <w:t>Nat Genet</w:t>
      </w:r>
      <w:r>
        <w:rPr>
          <w:i/>
        </w:rPr>
        <w:t>.</w:t>
      </w:r>
      <w:r>
        <w:t xml:space="preserve"> </w:t>
      </w:r>
      <w:r>
        <w:rPr>
          <w:rStyle w:val="Year"/>
        </w:rPr>
        <w:t>2000</w:t>
      </w:r>
      <w:r>
        <w:t>;</w:t>
      </w:r>
      <w:r>
        <w:rPr>
          <w:rStyle w:val="Volume"/>
        </w:rPr>
        <w:t>26</w:t>
      </w:r>
      <w:r>
        <w:t>(</w:t>
      </w:r>
      <w:r>
        <w:rPr>
          <w:rStyle w:val="Issue"/>
        </w:rPr>
        <w:t>2</w:t>
      </w:r>
      <w:r>
        <w:t>):</w:t>
      </w:r>
      <w:r>
        <w:rPr>
          <w:rStyle w:val="Pages"/>
        </w:rPr>
        <w:t>237-241</w:t>
      </w:r>
      <w:r>
        <w:t>.&lt;/bib&gt;</w:t>
      </w:r>
    </w:p>
    <w:p w14:paraId="39B4C193" w14:textId="49F7D487" w:rsidR="00A11272" w:rsidRPr="005B70D5" w:rsidRDefault="005B70D5" w:rsidP="005B70D5">
      <w:pPr>
        <w:pStyle w:val="Bibentry"/>
      </w:pPr>
      <w:bookmarkStart w:id="21" w:name="bib18"/>
      <w:bookmarkEnd w:id="21"/>
      <w:r>
        <w:t>&lt;bib id="bib18" type="Periodical"&gt;&lt;number&gt;18.&lt;/number&gt;</w:t>
      </w:r>
      <w:r>
        <w:rPr>
          <w:rStyle w:val="Surname"/>
          <w:bdr w:val="dotted" w:sz="4" w:space="0" w:color="auto"/>
        </w:rPr>
        <w:t>Richards</w:t>
      </w:r>
      <w:r>
        <w:rPr>
          <w:bdr w:val="dotted" w:sz="4" w:space="0" w:color="auto"/>
        </w:rPr>
        <w:t xml:space="preserve"> </w:t>
      </w:r>
      <w:r>
        <w:rPr>
          <w:rStyle w:val="FirstName"/>
          <w:bdr w:val="dotted" w:sz="4" w:space="0" w:color="auto"/>
        </w:rPr>
        <w:t>S</w:t>
      </w:r>
      <w:r>
        <w:t xml:space="preserve">, </w:t>
      </w:r>
      <w:r>
        <w:rPr>
          <w:rStyle w:val="Surname"/>
          <w:bdr w:val="dotted" w:sz="4" w:space="0" w:color="auto"/>
        </w:rPr>
        <w:t>Aziz</w:t>
      </w:r>
      <w:r>
        <w:rPr>
          <w:bdr w:val="dotted" w:sz="4" w:space="0" w:color="auto"/>
        </w:rPr>
        <w:t xml:space="preserve"> </w:t>
      </w:r>
      <w:r>
        <w:rPr>
          <w:rStyle w:val="FirstName"/>
          <w:bdr w:val="dotted" w:sz="4" w:space="0" w:color="auto"/>
        </w:rPr>
        <w:t>N</w:t>
      </w:r>
      <w:r>
        <w:t xml:space="preserve">, </w:t>
      </w:r>
      <w:r>
        <w:rPr>
          <w:rStyle w:val="Surname"/>
          <w:bdr w:val="dotted" w:sz="4" w:space="0" w:color="auto"/>
        </w:rPr>
        <w:t>Bale</w:t>
      </w:r>
      <w:r>
        <w:rPr>
          <w:bdr w:val="dotted" w:sz="4" w:space="0" w:color="auto"/>
        </w:rPr>
        <w:t xml:space="preserve"> </w:t>
      </w:r>
      <w:r>
        <w:rPr>
          <w:rStyle w:val="FirstName"/>
          <w:bdr w:val="dotted" w:sz="4" w:space="0" w:color="auto"/>
        </w:rPr>
        <w:t>S</w:t>
      </w:r>
      <w:r>
        <w:t xml:space="preserve">, et al. </w:t>
      </w:r>
      <w:r>
        <w:rPr>
          <w:rStyle w:val="ArticleTitle"/>
        </w:rPr>
        <w:t>Standards and guidelines for the interpretation of sequence variants: a joint consensus recommendation of the American College of Medical Genetics and Genomics and the Association for Molecular Pathology</w:t>
      </w:r>
      <w:r>
        <w:t xml:space="preserve">. </w:t>
      </w:r>
      <w:r>
        <w:rPr>
          <w:rStyle w:val="JournalTitle"/>
          <w:i/>
        </w:rPr>
        <w:t>Genet Med</w:t>
      </w:r>
      <w:r>
        <w:rPr>
          <w:i/>
        </w:rPr>
        <w:t>.</w:t>
      </w:r>
      <w:r>
        <w:t xml:space="preserve"> </w:t>
      </w:r>
      <w:r>
        <w:rPr>
          <w:rStyle w:val="Year"/>
        </w:rPr>
        <w:t>2015</w:t>
      </w:r>
      <w:r>
        <w:t>;</w:t>
      </w:r>
      <w:r>
        <w:rPr>
          <w:rStyle w:val="Volume"/>
        </w:rPr>
        <w:t>17</w:t>
      </w:r>
      <w:r>
        <w:t>(</w:t>
      </w:r>
      <w:r>
        <w:rPr>
          <w:rStyle w:val="Issue"/>
        </w:rPr>
        <w:t>5</w:t>
      </w:r>
      <w:r>
        <w:t>):</w:t>
      </w:r>
      <w:r>
        <w:rPr>
          <w:rStyle w:val="Pages"/>
        </w:rPr>
        <w:t>405-424</w:t>
      </w:r>
      <w:r>
        <w:t>.&lt;/bib&gt;</w:t>
      </w:r>
    </w:p>
    <w:p w14:paraId="6673038F" w14:textId="43A12A6A" w:rsidR="00A11272" w:rsidRPr="005B70D5" w:rsidRDefault="005B70D5" w:rsidP="005B70D5">
      <w:pPr>
        <w:pStyle w:val="Bibentry"/>
      </w:pPr>
      <w:bookmarkStart w:id="22" w:name="bib19"/>
      <w:bookmarkEnd w:id="22"/>
      <w:r>
        <w:t>&lt;bib id="bib19" type="Periodical"&gt;&lt;number&gt;19.&lt;/number&gt;</w:t>
      </w:r>
      <w:r>
        <w:rPr>
          <w:rStyle w:val="Surname"/>
          <w:bdr w:val="dotted" w:sz="4" w:space="0" w:color="auto"/>
        </w:rPr>
        <w:t>Biesecker</w:t>
      </w:r>
      <w:r>
        <w:rPr>
          <w:bdr w:val="dotted" w:sz="4" w:space="0" w:color="auto"/>
        </w:rPr>
        <w:t xml:space="preserve"> </w:t>
      </w:r>
      <w:r>
        <w:rPr>
          <w:rStyle w:val="FirstName"/>
          <w:bdr w:val="dotted" w:sz="4" w:space="0" w:color="auto"/>
        </w:rPr>
        <w:t>LG</w:t>
      </w:r>
      <w:r>
        <w:t xml:space="preserve">, </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w:t>
      </w:r>
      <w:r>
        <w:rPr>
          <w:rStyle w:val="ArticleTitle"/>
        </w:rPr>
        <w:t>The ACMG/AMP reputable source criteria for the interpretation of sequence variants</w:t>
      </w:r>
      <w:r>
        <w:t xml:space="preserve">. </w:t>
      </w:r>
      <w:r>
        <w:rPr>
          <w:rStyle w:val="JournalTitle"/>
          <w:i/>
        </w:rPr>
        <w:t>Genetics in Medicine</w:t>
      </w:r>
      <w:r>
        <w:rPr>
          <w:i/>
        </w:rPr>
        <w:t>.</w:t>
      </w:r>
      <w:r>
        <w:t xml:space="preserve"> </w:t>
      </w:r>
      <w:r>
        <w:rPr>
          <w:rStyle w:val="Year"/>
        </w:rPr>
        <w:t>2018</w:t>
      </w:r>
      <w:r>
        <w:t>;</w:t>
      </w:r>
      <w:r>
        <w:rPr>
          <w:rStyle w:val="Volume"/>
        </w:rPr>
        <w:t>20</w:t>
      </w:r>
      <w:r>
        <w:t>(</w:t>
      </w:r>
      <w:r>
        <w:rPr>
          <w:rStyle w:val="Issue"/>
        </w:rPr>
        <w:t>12</w:t>
      </w:r>
      <w:r>
        <w:t>):</w:t>
      </w:r>
      <w:r>
        <w:rPr>
          <w:rStyle w:val="Pages"/>
        </w:rPr>
        <w:t>1687-1688</w:t>
      </w:r>
      <w:r>
        <w:t>.&lt;/bib&gt;</w:t>
      </w:r>
    </w:p>
    <w:p w14:paraId="655C7903" w14:textId="18E50984" w:rsidR="00A11272" w:rsidRPr="005B70D5" w:rsidRDefault="005B70D5" w:rsidP="005B70D5">
      <w:pPr>
        <w:pStyle w:val="Bibentry"/>
      </w:pPr>
      <w:bookmarkStart w:id="23" w:name="bib20"/>
      <w:bookmarkEnd w:id="23"/>
      <w:r>
        <w:t>&lt;bib id="bib20" type="Periodical"&gt;&lt;number&gt;20.&lt;/number&gt;</w:t>
      </w:r>
      <w:r>
        <w:rPr>
          <w:rStyle w:val="Surname"/>
          <w:bdr w:val="dotted" w:sz="4" w:space="0" w:color="auto"/>
        </w:rPr>
        <w:t>Brnich</w:t>
      </w:r>
      <w:r>
        <w:rPr>
          <w:bdr w:val="dotted" w:sz="4" w:space="0" w:color="auto"/>
        </w:rPr>
        <w:t xml:space="preserve"> </w:t>
      </w:r>
      <w:r>
        <w:rPr>
          <w:rStyle w:val="FirstName"/>
          <w:bdr w:val="dotted" w:sz="4" w:space="0" w:color="auto"/>
        </w:rPr>
        <w:t>SE</w:t>
      </w:r>
      <w:r>
        <w:t xml:space="preserve">, </w:t>
      </w:r>
      <w:r>
        <w:rPr>
          <w:rStyle w:val="Surname"/>
          <w:bdr w:val="dotted" w:sz="4" w:space="0" w:color="auto"/>
        </w:rPr>
        <w:t>Abou Tayoun</w:t>
      </w:r>
      <w:r>
        <w:rPr>
          <w:bdr w:val="dotted" w:sz="4" w:space="0" w:color="auto"/>
        </w:rPr>
        <w:t xml:space="preserve"> </w:t>
      </w:r>
      <w:r>
        <w:rPr>
          <w:rStyle w:val="FirstName"/>
          <w:bdr w:val="dotted" w:sz="4" w:space="0" w:color="auto"/>
        </w:rPr>
        <w:t>AN</w:t>
      </w:r>
      <w:r>
        <w:t xml:space="preserve">, </w:t>
      </w:r>
      <w:r>
        <w:rPr>
          <w:rStyle w:val="Surname"/>
          <w:bdr w:val="dotted" w:sz="4" w:space="0" w:color="auto"/>
        </w:rPr>
        <w:t>Couch</w:t>
      </w:r>
      <w:r>
        <w:rPr>
          <w:bdr w:val="dotted" w:sz="4" w:space="0" w:color="auto"/>
        </w:rPr>
        <w:t xml:space="preserve"> </w:t>
      </w:r>
      <w:r>
        <w:rPr>
          <w:rStyle w:val="FirstName"/>
          <w:bdr w:val="dotted" w:sz="4" w:space="0" w:color="auto"/>
        </w:rPr>
        <w:t>FJ</w:t>
      </w:r>
      <w:r>
        <w:t xml:space="preserve">, et al. </w:t>
      </w:r>
      <w:r>
        <w:rPr>
          <w:rStyle w:val="ArticleTitle"/>
        </w:rPr>
        <w:t>Recommendations for application of the functional evidence PS3/BS3 criterion using the ACMG/AMP sequence variant interpretation framework</w:t>
      </w:r>
      <w:r>
        <w:t xml:space="preserve">. </w:t>
      </w:r>
      <w:r>
        <w:rPr>
          <w:rStyle w:val="JournalTitle"/>
          <w:i/>
        </w:rPr>
        <w:t>Genome Medicine</w:t>
      </w:r>
      <w:r>
        <w:rPr>
          <w:i/>
        </w:rPr>
        <w:t>.</w:t>
      </w:r>
      <w:r>
        <w:t xml:space="preserve"> </w:t>
      </w:r>
      <w:r>
        <w:rPr>
          <w:rStyle w:val="Year"/>
        </w:rPr>
        <w:t>2019</w:t>
      </w:r>
      <w:r>
        <w:t>;</w:t>
      </w:r>
      <w:r>
        <w:rPr>
          <w:rStyle w:val="Volume"/>
        </w:rPr>
        <w:t>12</w:t>
      </w:r>
      <w:r>
        <w:t>(</w:t>
      </w:r>
      <w:r>
        <w:rPr>
          <w:rStyle w:val="Issue"/>
        </w:rPr>
        <w:t>1</w:t>
      </w:r>
      <w:r>
        <w:t>):</w:t>
      </w:r>
      <w:r>
        <w:rPr>
          <w:rStyle w:val="Pages"/>
        </w:rPr>
        <w:t>3</w:t>
      </w:r>
      <w:r>
        <w:t>.&lt;/bib&gt;</w:t>
      </w:r>
    </w:p>
    <w:p w14:paraId="279B4FCB" w14:textId="25AABABC" w:rsidR="00A11272" w:rsidRPr="005B70D5" w:rsidRDefault="005B70D5" w:rsidP="005B70D5">
      <w:pPr>
        <w:pStyle w:val="Bibentry"/>
      </w:pPr>
      <w:bookmarkStart w:id="24" w:name="bib21"/>
      <w:bookmarkEnd w:id="24"/>
      <w:r>
        <w:t>&lt;bib id="bib21" type="Periodical"&gt;&lt;number&gt;21.&lt;/number&gt;</w:t>
      </w:r>
      <w:r>
        <w:rPr>
          <w:rStyle w:val="Surname"/>
          <w:bdr w:val="dotted" w:sz="4" w:space="0" w:color="auto"/>
        </w:rPr>
        <w:t>Ellingford</w:t>
      </w:r>
      <w:r>
        <w:rPr>
          <w:bdr w:val="dotted" w:sz="4" w:space="0" w:color="auto"/>
        </w:rPr>
        <w:t xml:space="preserve"> </w:t>
      </w:r>
      <w:r>
        <w:rPr>
          <w:rStyle w:val="FirstName"/>
          <w:bdr w:val="dotted" w:sz="4" w:space="0" w:color="auto"/>
        </w:rPr>
        <w:t>JM</w:t>
      </w:r>
      <w:r>
        <w:t xml:space="preserve">, </w:t>
      </w:r>
      <w:r>
        <w:rPr>
          <w:rStyle w:val="Surname"/>
          <w:bdr w:val="dotted" w:sz="4" w:space="0" w:color="auto"/>
        </w:rPr>
        <w:t>Ahn</w:t>
      </w:r>
      <w:r>
        <w:rPr>
          <w:bdr w:val="dotted" w:sz="4" w:space="0" w:color="auto"/>
        </w:rPr>
        <w:t xml:space="preserve"> </w:t>
      </w:r>
      <w:r>
        <w:rPr>
          <w:rStyle w:val="FirstName"/>
          <w:bdr w:val="dotted" w:sz="4" w:space="0" w:color="auto"/>
        </w:rPr>
        <w:t>JW</w:t>
      </w:r>
      <w:r>
        <w:t xml:space="preserve">, </w:t>
      </w:r>
      <w:r>
        <w:rPr>
          <w:rStyle w:val="Surname"/>
          <w:bdr w:val="dotted" w:sz="4" w:space="0" w:color="auto"/>
        </w:rPr>
        <w:t>Bagnall</w:t>
      </w:r>
      <w:r>
        <w:rPr>
          <w:bdr w:val="dotted" w:sz="4" w:space="0" w:color="auto"/>
        </w:rPr>
        <w:t xml:space="preserve"> </w:t>
      </w:r>
      <w:r>
        <w:rPr>
          <w:rStyle w:val="FirstName"/>
          <w:bdr w:val="dotted" w:sz="4" w:space="0" w:color="auto"/>
        </w:rPr>
        <w:t>RD</w:t>
      </w:r>
      <w:r>
        <w:t xml:space="preserve">, et al. </w:t>
      </w:r>
      <w:r>
        <w:rPr>
          <w:rStyle w:val="ArticleTitle"/>
        </w:rPr>
        <w:t>Recommendations for clinical interpretation of variants found in non-coding regions of the genome</w:t>
      </w:r>
      <w:r>
        <w:t xml:space="preserve">. </w:t>
      </w:r>
      <w:r>
        <w:rPr>
          <w:rStyle w:val="JournalTitle"/>
          <w:i/>
        </w:rPr>
        <w:t>Genome Medicine</w:t>
      </w:r>
      <w:r>
        <w:rPr>
          <w:i/>
        </w:rPr>
        <w:t>.</w:t>
      </w:r>
      <w:r>
        <w:t xml:space="preserve"> </w:t>
      </w:r>
      <w:r>
        <w:rPr>
          <w:rStyle w:val="Year"/>
        </w:rPr>
        <w:t>2022</w:t>
      </w:r>
      <w:r>
        <w:t>;</w:t>
      </w:r>
      <w:r>
        <w:rPr>
          <w:rStyle w:val="Volume"/>
        </w:rPr>
        <w:t>14</w:t>
      </w:r>
      <w:r>
        <w:t>(</w:t>
      </w:r>
      <w:r>
        <w:rPr>
          <w:rStyle w:val="Issue"/>
        </w:rPr>
        <w:t>1</w:t>
      </w:r>
      <w:r>
        <w:t>):</w:t>
      </w:r>
      <w:r>
        <w:rPr>
          <w:rStyle w:val="Pages"/>
        </w:rPr>
        <w:t>73</w:t>
      </w:r>
      <w:r>
        <w:t>.&lt;/bib&gt;</w:t>
      </w:r>
    </w:p>
    <w:p w14:paraId="0C50E136" w14:textId="21CA9777" w:rsidR="00A11272" w:rsidRPr="005B70D5" w:rsidRDefault="005B70D5" w:rsidP="005B70D5">
      <w:pPr>
        <w:pStyle w:val="Bibentry"/>
      </w:pPr>
      <w:bookmarkStart w:id="25" w:name="bib22"/>
      <w:bookmarkEnd w:id="25"/>
      <w:r>
        <w:t>&lt;bib id="bib22" type="Periodical"&gt;&lt;number&gt;22.&lt;/number&gt;</w:t>
      </w:r>
      <w:r>
        <w:rPr>
          <w:rStyle w:val="Surname"/>
          <w:bdr w:val="dotted" w:sz="4" w:space="0" w:color="auto"/>
        </w:rPr>
        <w:t>Liu</w:t>
      </w:r>
      <w:r>
        <w:rPr>
          <w:bdr w:val="dotted" w:sz="4" w:space="0" w:color="auto"/>
        </w:rPr>
        <w:t xml:space="preserve"> </w:t>
      </w:r>
      <w:r>
        <w:rPr>
          <w:rStyle w:val="FirstName"/>
          <w:bdr w:val="dotted" w:sz="4" w:space="0" w:color="auto"/>
        </w:rPr>
        <w:t>Z</w:t>
      </w:r>
      <w:r>
        <w:t xml:space="preserve">, </w:t>
      </w:r>
      <w:r>
        <w:rPr>
          <w:rStyle w:val="Surname"/>
          <w:bdr w:val="dotted" w:sz="4" w:space="0" w:color="auto"/>
        </w:rPr>
        <w:t>Tian</w:t>
      </w:r>
      <w:r>
        <w:rPr>
          <w:bdr w:val="dotted" w:sz="4" w:space="0" w:color="auto"/>
        </w:rPr>
        <w:t xml:space="preserve"> </w:t>
      </w:r>
      <w:r>
        <w:rPr>
          <w:rStyle w:val="FirstName"/>
          <w:bdr w:val="dotted" w:sz="4" w:space="0" w:color="auto"/>
        </w:rPr>
        <w:t>X</w:t>
      </w:r>
      <w:r>
        <w:t xml:space="preserve">, </w:t>
      </w:r>
      <w:r>
        <w:rPr>
          <w:rStyle w:val="Surname"/>
          <w:bdr w:val="dotted" w:sz="4" w:space="0" w:color="auto"/>
        </w:rPr>
        <w:t>Iida</w:t>
      </w:r>
      <w:r>
        <w:rPr>
          <w:bdr w:val="dotted" w:sz="4" w:space="0" w:color="auto"/>
        </w:rPr>
        <w:t xml:space="preserve"> </w:t>
      </w:r>
      <w:r>
        <w:rPr>
          <w:rStyle w:val="FirstName"/>
          <w:bdr w:val="dotted" w:sz="4" w:space="0" w:color="auto"/>
        </w:rPr>
        <w:t>N</w:t>
      </w:r>
      <w:r>
        <w:t xml:space="preserve">, et al. </w:t>
      </w:r>
      <w:r>
        <w:rPr>
          <w:rStyle w:val="ArticleTitle"/>
        </w:rPr>
        <w:t>Mutation analysis of CHST6 gene in Chinese patients with macular corneal dystrophy</w:t>
      </w:r>
      <w:r>
        <w:t xml:space="preserve">. </w:t>
      </w:r>
      <w:r>
        <w:rPr>
          <w:rStyle w:val="JournalTitle"/>
          <w:i/>
        </w:rPr>
        <w:t>Cornea</w:t>
      </w:r>
      <w:r>
        <w:rPr>
          <w:i/>
        </w:rPr>
        <w:t>.</w:t>
      </w:r>
      <w:r>
        <w:t xml:space="preserve"> </w:t>
      </w:r>
      <w:r>
        <w:rPr>
          <w:rStyle w:val="Year"/>
        </w:rPr>
        <w:t>2010</w:t>
      </w:r>
      <w:r>
        <w:t>;</w:t>
      </w:r>
      <w:r>
        <w:rPr>
          <w:rStyle w:val="Volume"/>
        </w:rPr>
        <w:t>29</w:t>
      </w:r>
      <w:r>
        <w:t>(</w:t>
      </w:r>
      <w:r>
        <w:rPr>
          <w:rStyle w:val="Issue"/>
        </w:rPr>
        <w:t>8</w:t>
      </w:r>
      <w:r>
        <w:t>):</w:t>
      </w:r>
      <w:r>
        <w:rPr>
          <w:rStyle w:val="Pages"/>
        </w:rPr>
        <w:t>883-888</w:t>
      </w:r>
      <w:r>
        <w:t>.&lt;/bib&gt;</w:t>
      </w:r>
    </w:p>
    <w:p w14:paraId="15DC8C84" w14:textId="7421698C" w:rsidR="00A11272" w:rsidRPr="005B70D5" w:rsidRDefault="005B70D5" w:rsidP="005B70D5">
      <w:pPr>
        <w:pStyle w:val="Bibentry"/>
      </w:pPr>
      <w:bookmarkStart w:id="26" w:name="bib23"/>
      <w:bookmarkEnd w:id="26"/>
      <w:r>
        <w:t>&lt;bib id="bib23" type="Periodical"&gt;&lt;number&gt;23.&lt;/number&gt;</w:t>
      </w:r>
      <w:r>
        <w:rPr>
          <w:rStyle w:val="Surname"/>
          <w:bdr w:val="dotted" w:sz="4" w:space="0" w:color="auto"/>
        </w:rPr>
        <w:t>Gruenauer-Kloevekorn</w:t>
      </w:r>
      <w:r>
        <w:rPr>
          <w:bdr w:val="dotted" w:sz="4" w:space="0" w:color="auto"/>
        </w:rPr>
        <w:t xml:space="preserve"> </w:t>
      </w:r>
      <w:r>
        <w:rPr>
          <w:rStyle w:val="FirstName"/>
          <w:bdr w:val="dotted" w:sz="4" w:space="0" w:color="auto"/>
        </w:rPr>
        <w:t>C</w:t>
      </w:r>
      <w:r>
        <w:t xml:space="preserve">, </w:t>
      </w:r>
      <w:r>
        <w:rPr>
          <w:rStyle w:val="Surname"/>
          <w:bdr w:val="dotted" w:sz="4" w:space="0" w:color="auto"/>
        </w:rPr>
        <w:t>Braeutigam</w:t>
      </w:r>
      <w:r>
        <w:rPr>
          <w:bdr w:val="dotted" w:sz="4" w:space="0" w:color="auto"/>
        </w:rPr>
        <w:t xml:space="preserve"> </w:t>
      </w:r>
      <w:r>
        <w:rPr>
          <w:rStyle w:val="FirstName"/>
          <w:bdr w:val="dotted" w:sz="4" w:space="0" w:color="auto"/>
        </w:rPr>
        <w:t>S</w:t>
      </w:r>
      <w:r>
        <w:t xml:space="preserve">, </w:t>
      </w:r>
      <w:r>
        <w:rPr>
          <w:rStyle w:val="Surname"/>
          <w:bdr w:val="dotted" w:sz="4" w:space="0" w:color="auto"/>
        </w:rPr>
        <w:t>Heinritz</w:t>
      </w:r>
      <w:r>
        <w:rPr>
          <w:bdr w:val="dotted" w:sz="4" w:space="0" w:color="auto"/>
        </w:rPr>
        <w:t xml:space="preserve"> </w:t>
      </w:r>
      <w:r>
        <w:rPr>
          <w:rStyle w:val="FirstName"/>
          <w:bdr w:val="dotted" w:sz="4" w:space="0" w:color="auto"/>
        </w:rPr>
        <w:t>W</w:t>
      </w:r>
      <w:r>
        <w:t xml:space="preserve">, </w:t>
      </w:r>
      <w:r>
        <w:rPr>
          <w:rStyle w:val="Surname"/>
          <w:bdr w:val="dotted" w:sz="4" w:space="0" w:color="auto"/>
        </w:rPr>
        <w:t>Froster</w:t>
      </w:r>
      <w:r>
        <w:rPr>
          <w:bdr w:val="dotted" w:sz="4" w:space="0" w:color="auto"/>
        </w:rPr>
        <w:t xml:space="preserve"> </w:t>
      </w:r>
      <w:r>
        <w:rPr>
          <w:rStyle w:val="FirstName"/>
          <w:bdr w:val="dotted" w:sz="4" w:space="0" w:color="auto"/>
        </w:rPr>
        <w:t>UG</w:t>
      </w:r>
      <w:r>
        <w:t xml:space="preserve">, </w:t>
      </w:r>
      <w:r>
        <w:rPr>
          <w:rStyle w:val="Surname"/>
          <w:bdr w:val="dotted" w:sz="4" w:space="0" w:color="auto"/>
        </w:rPr>
        <w:t>Duncker</w:t>
      </w:r>
      <w:r>
        <w:rPr>
          <w:bdr w:val="dotted" w:sz="4" w:space="0" w:color="auto"/>
        </w:rPr>
        <w:t xml:space="preserve"> </w:t>
      </w:r>
      <w:r>
        <w:rPr>
          <w:rStyle w:val="FirstName"/>
          <w:bdr w:val="dotted" w:sz="4" w:space="0" w:color="auto"/>
        </w:rPr>
        <w:t>GI.</w:t>
      </w:r>
      <w:r>
        <w:t xml:space="preserve"> </w:t>
      </w:r>
      <w:r>
        <w:rPr>
          <w:rStyle w:val="ArticleTitle"/>
        </w:rPr>
        <w:t>Macular corneal dystrophy: mutational spectrum in German patients, novel mutations and therapeutic options</w:t>
      </w:r>
      <w:r>
        <w:t xml:space="preserve">. </w:t>
      </w:r>
      <w:r>
        <w:rPr>
          <w:rStyle w:val="JournalTitle"/>
          <w:i/>
        </w:rPr>
        <w:t>Graefes Arch Clin Exp Ophthalmol</w:t>
      </w:r>
      <w:r>
        <w:rPr>
          <w:i/>
        </w:rPr>
        <w:t>.</w:t>
      </w:r>
      <w:r>
        <w:t xml:space="preserve"> </w:t>
      </w:r>
      <w:r>
        <w:rPr>
          <w:rStyle w:val="Year"/>
        </w:rPr>
        <w:t>2008</w:t>
      </w:r>
      <w:r>
        <w:t>;</w:t>
      </w:r>
      <w:r>
        <w:rPr>
          <w:rStyle w:val="Volume"/>
        </w:rPr>
        <w:t>246</w:t>
      </w:r>
      <w:r>
        <w:t>(</w:t>
      </w:r>
      <w:r>
        <w:rPr>
          <w:rStyle w:val="Issue"/>
        </w:rPr>
        <w:t>10</w:t>
      </w:r>
      <w:r>
        <w:t>):</w:t>
      </w:r>
      <w:r>
        <w:rPr>
          <w:rStyle w:val="Pages"/>
        </w:rPr>
        <w:t>1441-1447</w:t>
      </w:r>
      <w:r>
        <w:t>.&lt;/bib&gt;</w:t>
      </w:r>
    </w:p>
    <w:p w14:paraId="49076AC3" w14:textId="40DB1E57" w:rsidR="00A11272" w:rsidRPr="005B70D5" w:rsidRDefault="005B70D5" w:rsidP="005B70D5">
      <w:pPr>
        <w:pStyle w:val="Bibentry"/>
      </w:pPr>
      <w:bookmarkStart w:id="27" w:name="bib24"/>
      <w:bookmarkEnd w:id="27"/>
      <w:r>
        <w:t>&lt;bib id="bib24" type="Periodical"&gt;&lt;number&gt;24.&lt;/number&gt;</w:t>
      </w:r>
      <w:r>
        <w:rPr>
          <w:rStyle w:val="Surname"/>
          <w:bdr w:val="dotted" w:sz="4" w:space="0" w:color="auto"/>
        </w:rPr>
        <w:t>Chaurasia</w:t>
      </w:r>
      <w:r>
        <w:rPr>
          <w:bdr w:val="dotted" w:sz="4" w:space="0" w:color="auto"/>
        </w:rPr>
        <w:t xml:space="preserve"> </w:t>
      </w:r>
      <w:r>
        <w:rPr>
          <w:rStyle w:val="FirstName"/>
          <w:bdr w:val="dotted" w:sz="4" w:space="0" w:color="auto"/>
        </w:rPr>
        <w:t>S</w:t>
      </w:r>
      <w:r>
        <w:t xml:space="preserve">, </w:t>
      </w:r>
      <w:r>
        <w:rPr>
          <w:rStyle w:val="Surname"/>
          <w:bdr w:val="dotted" w:sz="4" w:space="0" w:color="auto"/>
        </w:rPr>
        <w:t>Mishra</w:t>
      </w:r>
      <w:r>
        <w:rPr>
          <w:bdr w:val="dotted" w:sz="4" w:space="0" w:color="auto"/>
        </w:rPr>
        <w:t xml:space="preserve"> </w:t>
      </w:r>
      <w:r>
        <w:rPr>
          <w:rStyle w:val="FirstName"/>
          <w:bdr w:val="dotted" w:sz="4" w:space="0" w:color="auto"/>
        </w:rPr>
        <w:t>DK.</w:t>
      </w:r>
      <w:r>
        <w:t xml:space="preserve"> </w:t>
      </w:r>
      <w:r>
        <w:rPr>
          <w:rStyle w:val="ArticleTitle"/>
        </w:rPr>
        <w:t>Atypical presentation of macular corneal dystrophy managed by Descemet stripping endothelial keratoplasty</w:t>
      </w:r>
      <w:r>
        <w:t xml:space="preserve">. </w:t>
      </w:r>
      <w:r>
        <w:rPr>
          <w:rStyle w:val="JournalTitle"/>
          <w:i/>
        </w:rPr>
        <w:t>Indian J Ophthalmol</w:t>
      </w:r>
      <w:r>
        <w:rPr>
          <w:i/>
        </w:rPr>
        <w:t>.</w:t>
      </w:r>
      <w:r>
        <w:t xml:space="preserve"> </w:t>
      </w:r>
      <w:r>
        <w:rPr>
          <w:rStyle w:val="Year"/>
        </w:rPr>
        <w:t>2019</w:t>
      </w:r>
      <w:r>
        <w:t>;</w:t>
      </w:r>
      <w:r>
        <w:rPr>
          <w:rStyle w:val="Volume"/>
        </w:rPr>
        <w:t>67</w:t>
      </w:r>
      <w:r>
        <w:t>(</w:t>
      </w:r>
      <w:r>
        <w:rPr>
          <w:rStyle w:val="Issue"/>
        </w:rPr>
        <w:t>1</w:t>
      </w:r>
      <w:r>
        <w:t>):</w:t>
      </w:r>
      <w:r>
        <w:rPr>
          <w:rStyle w:val="Pages"/>
        </w:rPr>
        <w:t>118-119</w:t>
      </w:r>
      <w:r>
        <w:t>.&lt;/bib&gt;</w:t>
      </w:r>
    </w:p>
    <w:p w14:paraId="3C978744" w14:textId="3127BA76" w:rsidR="00A11272" w:rsidRPr="005B70D5" w:rsidRDefault="005B70D5" w:rsidP="005B70D5">
      <w:pPr>
        <w:pStyle w:val="Bibentry"/>
      </w:pPr>
      <w:bookmarkStart w:id="28" w:name="bib25"/>
      <w:bookmarkEnd w:id="28"/>
      <w:r>
        <w:t>&lt;bib id="bib25" type="Periodical"&gt;&lt;number&gt;25.&lt;/number&gt;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Kassels</w:t>
      </w:r>
      <w:r>
        <w:rPr>
          <w:bdr w:val="dotted" w:sz="4" w:space="0" w:color="auto"/>
        </w:rPr>
        <w:t xml:space="preserve"> </w:t>
      </w:r>
      <w:r>
        <w:rPr>
          <w:rStyle w:val="FirstName"/>
          <w:bdr w:val="dotted" w:sz="4" w:space="0" w:color="auto"/>
        </w:rPr>
        <w:t>AC</w:t>
      </w:r>
      <w:r>
        <w:t xml:space="preserve">, </w:t>
      </w:r>
      <w:r>
        <w:rPr>
          <w:rStyle w:val="Surname"/>
          <w:bdr w:val="dotted" w:sz="4" w:space="0" w:color="auto"/>
        </w:rPr>
        <w:t>Barrington</w:t>
      </w:r>
      <w:r>
        <w:rPr>
          <w:bdr w:val="dotted" w:sz="4" w:space="0" w:color="auto"/>
        </w:rPr>
        <w:t xml:space="preserve"> </w:t>
      </w:r>
      <w:r>
        <w:rPr>
          <w:rStyle w:val="FirstName"/>
          <w:bdr w:val="dotted" w:sz="4" w:space="0" w:color="auto"/>
        </w:rPr>
        <w:t>A</w:t>
      </w:r>
      <w:r>
        <w:t xml:space="preserve">, et al. </w:t>
      </w:r>
      <w:r>
        <w:rPr>
          <w:rStyle w:val="ArticleTitle"/>
        </w:rPr>
        <w:t>Macular corneal dystrophy with isolated peripheral Descemet membrane deposits</w:t>
      </w:r>
      <w:r>
        <w:t xml:space="preserve">. </w:t>
      </w:r>
      <w:r>
        <w:rPr>
          <w:rStyle w:val="JournalTitle"/>
          <w:i/>
        </w:rPr>
        <w:t>Am J Ophthalmol Case Rep</w:t>
      </w:r>
      <w:r>
        <w:rPr>
          <w:i/>
        </w:rPr>
        <w:t>.</w:t>
      </w:r>
      <w:r>
        <w:t xml:space="preserve"> </w:t>
      </w:r>
      <w:r>
        <w:rPr>
          <w:rStyle w:val="Year"/>
        </w:rPr>
        <w:t>2019</w:t>
      </w:r>
      <w:r>
        <w:t>;</w:t>
      </w:r>
      <w:r>
        <w:rPr>
          <w:rStyle w:val="Volume"/>
        </w:rPr>
        <w:t>16</w:t>
      </w:r>
      <w:r>
        <w:t>:</w:t>
      </w:r>
      <w:r>
        <w:rPr>
          <w:rStyle w:val="Pages"/>
        </w:rPr>
        <w:t>100571</w:t>
      </w:r>
      <w:r>
        <w:t>.&lt;/bib&gt;</w:t>
      </w:r>
    </w:p>
    <w:p w14:paraId="1C2D2009" w14:textId="5C2905F3" w:rsidR="00A11272" w:rsidRPr="005B70D5" w:rsidRDefault="005B70D5" w:rsidP="005B70D5">
      <w:pPr>
        <w:pStyle w:val="Bibentry"/>
      </w:pPr>
      <w:bookmarkStart w:id="29" w:name="bib26"/>
      <w:bookmarkEnd w:id="29"/>
      <w:r>
        <w:t>&lt;bib id="bib26" type="Periodical"&gt;&lt;number&gt;26.&lt;/number&gt;</w:t>
      </w:r>
      <w:r>
        <w:rPr>
          <w:rStyle w:val="Surname"/>
          <w:bdr w:val="dotted" w:sz="4" w:space="0" w:color="auto"/>
        </w:rPr>
        <w:t>Ye</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D</w:t>
      </w:r>
      <w:r>
        <w:t xml:space="preserve">, et al. </w:t>
      </w:r>
      <w:r>
        <w:rPr>
          <w:rStyle w:val="ArticleTitle"/>
        </w:rPr>
        <w:t>New Endothelial Corneal Dystrophy in a Chinese Family</w:t>
      </w:r>
      <w:r>
        <w:t xml:space="preserve">. </w:t>
      </w:r>
      <w:r>
        <w:rPr>
          <w:rStyle w:val="JournalTitle"/>
          <w:i/>
        </w:rPr>
        <w:t>Cornea</w:t>
      </w:r>
      <w:r>
        <w:rPr>
          <w:i/>
        </w:rPr>
        <w:t>.</w:t>
      </w:r>
      <w:r>
        <w:t xml:space="preserve"> </w:t>
      </w:r>
      <w:r>
        <w:rPr>
          <w:rStyle w:val="Year"/>
        </w:rPr>
        <w:t>2023</w:t>
      </w:r>
      <w:r>
        <w:t>;</w:t>
      </w:r>
      <w:r>
        <w:rPr>
          <w:rStyle w:val="Volume"/>
        </w:rPr>
        <w:t>42</w:t>
      </w:r>
      <w:r>
        <w:t>(</w:t>
      </w:r>
      <w:r>
        <w:rPr>
          <w:rStyle w:val="Issue"/>
        </w:rPr>
        <w:t>5</w:t>
      </w:r>
      <w:r>
        <w:t>):</w:t>
      </w:r>
      <w:r>
        <w:rPr>
          <w:rStyle w:val="Pages"/>
        </w:rPr>
        <w:t>529-535</w:t>
      </w:r>
      <w:r>
        <w:t>.&lt;/bib&gt;</w:t>
      </w:r>
    </w:p>
    <w:p w14:paraId="0A32B511" w14:textId="2CD62740" w:rsidR="00A11272" w:rsidRPr="005B70D5" w:rsidRDefault="005B70D5" w:rsidP="005B70D5">
      <w:pPr>
        <w:pStyle w:val="Bibentry"/>
      </w:pPr>
      <w:bookmarkStart w:id="30" w:name="bib27"/>
      <w:bookmarkEnd w:id="30"/>
      <w:r>
        <w:t>&lt;bib id="bib27" type="Book"&gt;&lt;number&gt;27.&lt;/number&gt;</w:t>
      </w:r>
      <w:r>
        <w:rPr>
          <w:rStyle w:val="BookTitle"/>
        </w:rPr>
        <w:t>LUXTURNA (voretigene neparvovec-rzyl) intraocular suspension for subretinal injection [package insert]</w:t>
      </w:r>
      <w:r>
        <w:t xml:space="preserve">. </w:t>
      </w:r>
      <w:r>
        <w:rPr>
          <w:rStyle w:val="City"/>
        </w:rPr>
        <w:t>Philadelphia, PA</w:t>
      </w:r>
      <w:r>
        <w:t xml:space="preserve">: </w:t>
      </w:r>
      <w:r>
        <w:rPr>
          <w:rStyle w:val="Publisher"/>
        </w:rPr>
        <w:t>Spark Therapeutics, Inc.</w:t>
      </w:r>
      <w:r>
        <w:t xml:space="preserve">; </w:t>
      </w:r>
      <w:r>
        <w:rPr>
          <w:rStyle w:val="Year"/>
        </w:rPr>
        <w:t>2022</w:t>
      </w:r>
      <w:r>
        <w:t>.&lt;/bib&gt;</w:t>
      </w:r>
    </w:p>
    <w:p w14:paraId="5658FEB4" w14:textId="2EAC9246" w:rsidR="00A11272" w:rsidRPr="005B70D5" w:rsidRDefault="005B70D5" w:rsidP="005B70D5">
      <w:pPr>
        <w:pStyle w:val="Bibentry"/>
      </w:pPr>
      <w:bookmarkStart w:id="31" w:name="bib28"/>
      <w:bookmarkEnd w:id="31"/>
      <w:r>
        <w:t>&lt;bib id="bib28" type="Periodical"&gt;&lt;number&gt;28.&lt;/number&gt;</w:t>
      </w:r>
      <w:r>
        <w:rPr>
          <w:rStyle w:val="Surname"/>
          <w:bdr w:val="dotted" w:sz="4" w:space="0" w:color="auto"/>
        </w:rPr>
        <w:t>Maguire</w:t>
      </w:r>
      <w:r>
        <w:rPr>
          <w:bdr w:val="dotted" w:sz="4" w:space="0" w:color="auto"/>
        </w:rPr>
        <w:t xml:space="preserve"> </w:t>
      </w:r>
      <w:r>
        <w:rPr>
          <w:rStyle w:val="FirstName"/>
          <w:bdr w:val="dotted" w:sz="4" w:space="0" w:color="auto"/>
        </w:rPr>
        <w:t>AM</w:t>
      </w:r>
      <w:r>
        <w:t xml:space="preserve">, </w:t>
      </w:r>
      <w:r>
        <w:rPr>
          <w:rStyle w:val="Surname"/>
          <w:bdr w:val="dotted" w:sz="4" w:space="0" w:color="auto"/>
        </w:rPr>
        <w:t>Bennett</w:t>
      </w:r>
      <w:r>
        <w:rPr>
          <w:bdr w:val="dotted" w:sz="4" w:space="0" w:color="auto"/>
        </w:rPr>
        <w:t xml:space="preserve"> </w:t>
      </w:r>
      <w:r>
        <w:rPr>
          <w:rStyle w:val="FirstName"/>
          <w:bdr w:val="dotted" w:sz="4" w:space="0" w:color="auto"/>
        </w:rPr>
        <w:t>J</w:t>
      </w:r>
      <w:r>
        <w:t xml:space="preserve">, </w:t>
      </w:r>
      <w:r>
        <w:rPr>
          <w:rStyle w:val="Surname"/>
          <w:bdr w:val="dotted" w:sz="4" w:space="0" w:color="auto"/>
        </w:rPr>
        <w:t>Aleman</w:t>
      </w:r>
      <w:r>
        <w:rPr>
          <w:bdr w:val="dotted" w:sz="4" w:space="0" w:color="auto"/>
        </w:rPr>
        <w:t xml:space="preserve"> </w:t>
      </w:r>
      <w:r>
        <w:rPr>
          <w:rStyle w:val="FirstName"/>
          <w:bdr w:val="dotted" w:sz="4" w:space="0" w:color="auto"/>
        </w:rPr>
        <w:t>EM</w:t>
      </w:r>
      <w:r>
        <w:t xml:space="preserve">, </w:t>
      </w:r>
      <w:r>
        <w:rPr>
          <w:rStyle w:val="Surname"/>
          <w:bdr w:val="dotted" w:sz="4" w:space="0" w:color="auto"/>
        </w:rPr>
        <w:t>Leroy</w:t>
      </w:r>
      <w:r>
        <w:rPr>
          <w:bdr w:val="dotted" w:sz="4" w:space="0" w:color="auto"/>
        </w:rPr>
        <w:t xml:space="preserve"> </w:t>
      </w:r>
      <w:r>
        <w:rPr>
          <w:rStyle w:val="FirstName"/>
          <w:bdr w:val="dotted" w:sz="4" w:space="0" w:color="auto"/>
        </w:rPr>
        <w:t>BP</w:t>
      </w:r>
      <w:r>
        <w:t xml:space="preserve">, </w:t>
      </w:r>
      <w:r>
        <w:rPr>
          <w:rStyle w:val="Surname"/>
          <w:bdr w:val="dotted" w:sz="4" w:space="0" w:color="auto"/>
        </w:rPr>
        <w:t>Aleman</w:t>
      </w:r>
      <w:r>
        <w:rPr>
          <w:bdr w:val="dotted" w:sz="4" w:space="0" w:color="auto"/>
        </w:rPr>
        <w:t xml:space="preserve"> </w:t>
      </w:r>
      <w:r>
        <w:rPr>
          <w:rStyle w:val="FirstName"/>
          <w:bdr w:val="dotted" w:sz="4" w:space="0" w:color="auto"/>
        </w:rPr>
        <w:t>TS.</w:t>
      </w:r>
      <w:r>
        <w:t xml:space="preserve"> </w:t>
      </w:r>
      <w:r>
        <w:rPr>
          <w:rStyle w:val="ArticleTitle"/>
        </w:rPr>
        <w:t>Clinical Perspective: Treating RPE65-Associated Retinal Dystrophy</w:t>
      </w:r>
      <w:r>
        <w:t xml:space="preserve">. </w:t>
      </w:r>
      <w:r>
        <w:rPr>
          <w:rStyle w:val="JournalTitle"/>
          <w:i/>
        </w:rPr>
        <w:t>Mol Ther</w:t>
      </w:r>
      <w:r>
        <w:rPr>
          <w:i/>
        </w:rPr>
        <w:t>.</w:t>
      </w:r>
      <w:r>
        <w:t xml:space="preserve"> </w:t>
      </w:r>
      <w:r>
        <w:rPr>
          <w:rStyle w:val="Year"/>
        </w:rPr>
        <w:t>2021</w:t>
      </w:r>
      <w:r>
        <w:t>;</w:t>
      </w:r>
      <w:r>
        <w:rPr>
          <w:rStyle w:val="Volume"/>
        </w:rPr>
        <w:t>29</w:t>
      </w:r>
      <w:r>
        <w:t>(</w:t>
      </w:r>
      <w:r>
        <w:rPr>
          <w:rStyle w:val="Issue"/>
        </w:rPr>
        <w:t>2</w:t>
      </w:r>
      <w:r>
        <w:t>):</w:t>
      </w:r>
      <w:r>
        <w:rPr>
          <w:rStyle w:val="Pages"/>
        </w:rPr>
        <w:t>442-463</w:t>
      </w:r>
      <w:r>
        <w:t>.&lt;/bib&gt;</w:t>
      </w:r>
    </w:p>
    <w:p w14:paraId="367DDD4D" w14:textId="2D7460F8" w:rsidR="005B70D5" w:rsidRPr="005B70D5" w:rsidRDefault="005B70D5" w:rsidP="005B70D5">
      <w:pPr>
        <w:pStyle w:val="Bibentry"/>
      </w:pPr>
      <w:bookmarkStart w:id="32" w:name="bib29"/>
      <w:bookmarkEnd w:id="32"/>
      <w:r>
        <w:t>&lt;bib id="bib29" type="Periodical"&gt;&lt;number&gt;29.&lt;/number&gt;</w:t>
      </w:r>
      <w:r>
        <w:rPr>
          <w:rStyle w:val="Surname"/>
          <w:bdr w:val="dotted" w:sz="4" w:space="0" w:color="auto"/>
        </w:rPr>
        <w:t>Sodi</w:t>
      </w:r>
      <w:r>
        <w:rPr>
          <w:bdr w:val="dotted" w:sz="4" w:space="0" w:color="auto"/>
        </w:rPr>
        <w:t xml:space="preserve"> </w:t>
      </w:r>
      <w:r>
        <w:rPr>
          <w:rStyle w:val="FirstName"/>
          <w:bdr w:val="dotted" w:sz="4" w:space="0" w:color="auto"/>
        </w:rPr>
        <w:t>A</w:t>
      </w:r>
      <w:r>
        <w:t xml:space="preserve">, </w:t>
      </w:r>
      <w:r>
        <w:rPr>
          <w:rStyle w:val="Surname"/>
          <w:bdr w:val="dotted" w:sz="4" w:space="0" w:color="auto"/>
        </w:rPr>
        <w:t>Banfi</w:t>
      </w:r>
      <w:r>
        <w:rPr>
          <w:bdr w:val="dotted" w:sz="4" w:space="0" w:color="auto"/>
        </w:rPr>
        <w:t xml:space="preserve"> </w:t>
      </w:r>
      <w:r>
        <w:rPr>
          <w:rStyle w:val="FirstName"/>
          <w:bdr w:val="dotted" w:sz="4" w:space="0" w:color="auto"/>
        </w:rPr>
        <w:t>S</w:t>
      </w:r>
      <w:r>
        <w:t xml:space="preserve">, </w:t>
      </w:r>
      <w:r>
        <w:rPr>
          <w:rStyle w:val="Surname"/>
          <w:bdr w:val="dotted" w:sz="4" w:space="0" w:color="auto"/>
        </w:rPr>
        <w:t>Testa</w:t>
      </w:r>
      <w:r>
        <w:rPr>
          <w:bdr w:val="dotted" w:sz="4" w:space="0" w:color="auto"/>
        </w:rPr>
        <w:t xml:space="preserve"> </w:t>
      </w:r>
      <w:r>
        <w:rPr>
          <w:rStyle w:val="FirstName"/>
          <w:bdr w:val="dotted" w:sz="4" w:space="0" w:color="auto"/>
        </w:rPr>
        <w:t>F</w:t>
      </w:r>
      <w:r>
        <w:t xml:space="preserve">, et al. </w:t>
      </w:r>
      <w:r>
        <w:rPr>
          <w:rStyle w:val="ArticleTitle"/>
        </w:rPr>
        <w:t>RPE65-associated inherited retinal diseases: consensus recommendations for eligibility to gene therapy</w:t>
      </w:r>
      <w:r>
        <w:t xml:space="preserve">. </w:t>
      </w:r>
      <w:r>
        <w:rPr>
          <w:rStyle w:val="JournalTitle"/>
          <w:i/>
        </w:rPr>
        <w:t>Orphanet Journal of Rare Diseases</w:t>
      </w:r>
      <w:r>
        <w:rPr>
          <w:i/>
        </w:rPr>
        <w:t>.</w:t>
      </w:r>
      <w:r>
        <w:t xml:space="preserve"> </w:t>
      </w:r>
      <w:r>
        <w:rPr>
          <w:rStyle w:val="Year"/>
        </w:rPr>
        <w:t>2021</w:t>
      </w:r>
      <w:r>
        <w:t>;</w:t>
      </w:r>
      <w:r>
        <w:rPr>
          <w:rStyle w:val="Volume"/>
        </w:rPr>
        <w:t>16</w:t>
      </w:r>
      <w:r>
        <w:t>(</w:t>
      </w:r>
      <w:r>
        <w:rPr>
          <w:rStyle w:val="Issue"/>
        </w:rPr>
        <w:t>1</w:t>
      </w:r>
      <w:r>
        <w:t>):</w:t>
      </w:r>
      <w:r>
        <w:rPr>
          <w:rStyle w:val="Pages"/>
        </w:rPr>
        <w:t>257</w:t>
      </w:r>
      <w:r>
        <w:t>&lt;/bib&gt;</w:t>
      </w:r>
    </w:p>
    <w:p w14:paraId="26122323" w14:textId="46A0B684" w:rsidR="005B70D5" w:rsidRDefault="005B70D5" w:rsidP="00FE50C9"/>
    <w:p w14:paraId="56F3ED46" w14:textId="159F948A" w:rsidR="00A11272" w:rsidRPr="00A11272" w:rsidRDefault="00A11272" w:rsidP="00A11272">
      <w:pPr>
        <w:pStyle w:val="FigureCaption"/>
      </w:pPr>
      <w:bookmarkStart w:id="33" w:name="fig1"/>
      <w:r>
        <w:rPr>
          <w:rStyle w:val="Label"/>
          <w:color w:val="0000FF"/>
        </w:rPr>
        <w:t>Figure 1.</w:t>
      </w:r>
      <w:bookmarkEnd w:id="33"/>
      <w:r>
        <w:t xml:space="preserve"> Pedigrees of seven previously unreported families with Peripheral macular endothelial dystrophy (PMED). 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w:t>
      </w:r>
    </w:p>
    <w:p w14:paraId="1CE84C19" w14:textId="04688CBE" w:rsidR="00FE50C9" w:rsidRPr="00A11272" w:rsidRDefault="00B96E91" w:rsidP="00A11272">
      <w:pPr>
        <w:pStyle w:val="FigureCaption"/>
        <w:rPr>
          <w:rFonts w:asciiTheme="minorHAnsi" w:hAnsiTheme="minorHAnsi"/>
        </w:rPr>
      </w:pPr>
      <w:bookmarkStart w:id="34" w:name="fig2"/>
      <w:r>
        <w:rPr>
          <w:rStyle w:val="Label"/>
          <w:color w:val="0000FF"/>
        </w:rPr>
        <w:t>Figure 2.</w:t>
      </w:r>
      <w:bookmarkEnd w:id="34"/>
      <w:r>
        <w:t xml:space="preserve"> Clinical findings of affected individuals in Families A (panels A-C), B (D-G) and C (H-J).</w:t>
      </w:r>
      <w:r w:rsidR="00A11272" w:rsidRPr="00A11272">
        <w:t xml:space="preserve"> </w:t>
      </w:r>
      <w:r>
        <w:t>(A) Slit lamp photomicrographs of the proband. (B) Slit lamp photomicrographs of the proband following DMEK in both eyes. (C) Slit lamp photomicrographs of the affected mother of the proband. (D) Slit lamp photomicrographs of the proband at initial presentation and (E) six months following presentation. (F) Slit lamp photos of the proband following DSAEK in the right eye. (G) Slit lamp photomicrographs of the proband’s older brother. (H) Slit lamp photomicrographs of the proband at presentation. (I) Slit lamp photomicrographs of the proband’s left eye following DMEK. (J) Slit lamp photos of the proband’s affected older sister.</w:t>
      </w:r>
    </w:p>
    <w:p w14:paraId="4A02990A" w14:textId="6E4A583A" w:rsidR="00FE50C9" w:rsidRPr="00A11272" w:rsidRDefault="00B96E91" w:rsidP="00A11272">
      <w:pPr>
        <w:pStyle w:val="FigureCaption"/>
      </w:pPr>
      <w:bookmarkStart w:id="35" w:name="fig3"/>
      <w:r>
        <w:rPr>
          <w:rStyle w:val="Label"/>
          <w:color w:val="0000FF"/>
        </w:rPr>
        <w:t>Figure 3.</w:t>
      </w:r>
      <w:bookmarkEnd w:id="35"/>
      <w:r>
        <w:t xml:space="preserve"> Clinical findings of affected individuals in Families D (panels A-D), E (E-F), F (G-H) and G (I).</w:t>
      </w:r>
      <w:r w:rsidR="00A11272" w:rsidRPr="00A11272">
        <w:t xml:space="preserve"> </w:t>
      </w:r>
      <w:r>
        <w:t>(A) Slit lamp photomicrographs of the proband at presentation. (B) AS-OCT images of the proband at presentation. (C) Slit lamp photomicrographs of one of the proband’s affected younger brothers. (D) Slit lamp photomicrographs of the other affected younger brother of the proband. (E)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w:t>
      </w:r>
    </w:p>
    <w:p w14:paraId="3FF77934" w14:textId="2E79317B" w:rsidR="00FE50C9" w:rsidRPr="00A11272" w:rsidRDefault="00B96E91" w:rsidP="00A11272">
      <w:pPr>
        <w:pStyle w:val="FigureCaption"/>
        <w:rPr>
          <w:shd w:val="clear" w:color="auto" w:fill="FFFFFF"/>
        </w:rPr>
      </w:pPr>
      <w:bookmarkStart w:id="36" w:name="fig4"/>
      <w:r>
        <w:rPr>
          <w:rStyle w:val="Label"/>
          <w:color w:val="0000FF"/>
        </w:rPr>
        <w:t>Figure 4.</w:t>
      </w:r>
      <w:bookmarkEnd w:id="36"/>
      <w:r>
        <w:t xml:space="preserve"> Functional Assay of CHST6 Mutants.</w:t>
      </w:r>
      <w:r w:rsidR="00A11272" w:rsidRPr="00A11272">
        <w:t xml:space="preserve"> </w:t>
      </w:r>
      <w:r>
        <w:t xml:space="preserve">(A) </w:t>
      </w:r>
      <w:r>
        <w:rPr>
          <w:shd w:val="clear" w:color="auto" w:fill="FFFFFF"/>
        </w:rPr>
        <w:t xml:space="preserve">Graphical representation of </w:t>
      </w:r>
      <w:r>
        <w:rPr>
          <w:i/>
          <w:iCs/>
          <w:shd w:val="clear" w:color="auto" w:fill="FFFFFF"/>
        </w:rPr>
        <w:t xml:space="preserve">CHST6 </w:t>
      </w:r>
      <w:r>
        <w:rPr>
          <w:shd w:val="clear" w:color="auto" w:fill="FFFFFF"/>
        </w:rPr>
        <w:t xml:space="preserve">gene structure and map of CHST6 promoter-containing expressing vector pcDNA3_CGn6STwPro, showing the relative positions of </w:t>
      </w:r>
      <w:r>
        <w:rPr>
          <w:i/>
          <w:iCs/>
          <w:shd w:val="clear" w:color="auto" w:fill="FFFFFF"/>
        </w:rPr>
        <w:t>CHST6</w:t>
      </w:r>
      <w:r>
        <w:rPr>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3017BB92" w14:textId="780AE89D" w:rsidR="00A11272" w:rsidRPr="00A11272" w:rsidRDefault="00B96E91" w:rsidP="00A11272">
      <w:pPr>
        <w:pStyle w:val="FigureCaption"/>
      </w:pPr>
      <w:bookmarkStart w:id="37" w:name="fig5"/>
      <w:r>
        <w:rPr>
          <w:rStyle w:val="Label"/>
          <w:color w:val="0000FF"/>
        </w:rPr>
        <w:t>Figure 5.</w:t>
      </w:r>
      <w:bookmarkEnd w:id="37"/>
      <w:r>
        <w:t xml:space="preserve"> Histology and immunohistochemistry of DM from three probands.</w:t>
      </w:r>
    </w:p>
    <w:p w14:paraId="68FC86B9" w14:textId="7EC08758" w:rsidR="00A11272" w:rsidRPr="00643AEB" w:rsidRDefault="00A11272" w:rsidP="00754048">
      <w:pPr>
        <w:pStyle w:val="TableCaption"/>
      </w:pPr>
      <w:bookmarkStart w:id="38" w:name="tb1"/>
      <w:r>
        <w:rPr>
          <w:rStyle w:val="Label"/>
          <w:color w:val="0000FF"/>
        </w:rPr>
        <w:t>Table 1.</w:t>
      </w:r>
      <w:bookmarkEnd w:id="38"/>
      <w:r>
        <w:t xml:space="preserve"> Identified presumed pathogenic CHST6 mutations in families A – G</w:t>
      </w:r>
      <w:r w:rsidR="00643AEB" w:rsidRPr="00643AEB">
        <w:t>.</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1698"/>
        <w:gridCol w:w="1483"/>
        <w:gridCol w:w="670"/>
        <w:gridCol w:w="1177"/>
        <w:gridCol w:w="2772"/>
        <w:gridCol w:w="3137"/>
      </w:tblGrid>
      <w:tr w:rsidR="0085140E" w:rsidRPr="00FB7CC4" w14:paraId="1271CE8B" w14:textId="77777777" w:rsidTr="00643AEB">
        <w:tc>
          <w:tcPr>
            <w:tcW w:w="471" w:type="pct"/>
            <w:tcBorders>
              <w:top w:val="single" w:sz="18" w:space="0" w:color="auto"/>
              <w:bottom w:val="single" w:sz="18" w:space="0" w:color="auto"/>
            </w:tcBorders>
            <w:shd w:val="clear" w:color="auto" w:fill="D9D9D9"/>
            <w:vAlign w:val="center"/>
          </w:tcPr>
          <w:p w14:paraId="78EC3808" w14:textId="77777777" w:rsidR="005B70D5" w:rsidRDefault="00B96E91" w:rsidP="00B002A0">
            <w:pPr>
              <w:jc w:val="center"/>
              <w:rPr>
                <w:rFonts w:ascii="Arial" w:hAnsi="Arial" w:cs="Arial"/>
              </w:rPr>
            </w:pPr>
            <w:r>
              <w:rPr>
                <w:rFonts w:ascii="Arial" w:hAnsi="Arial" w:cs="Arial"/>
              </w:rPr>
              <w:t>Healthy control cornea: full thickness eye bank donor cornea. PCE DM: DM from an individual with pseudophakic corneal edema.</w:t>
            </w:r>
          </w:p>
          <w:p w14:paraId="0AE8D32E" w14:textId="053FBAC1" w:rsidR="0085140E" w:rsidRPr="00FB7CC4" w:rsidRDefault="0085140E" w:rsidP="00B002A0">
            <w:pPr>
              <w:jc w:val="center"/>
              <w:rPr>
                <w:rFonts w:ascii="Arial" w:hAnsi="Arial" w:cs="Arial"/>
                <w:b/>
              </w:rPr>
            </w:pPr>
            <w:r>
              <w:rPr>
                <w:rFonts w:ascii="Arial" w:hAnsi="Arial" w:cs="Arial"/>
                <w:b/>
              </w:rPr>
              <w:t>Family</w:t>
            </w:r>
          </w:p>
        </w:tc>
        <w:tc>
          <w:tcPr>
            <w:tcW w:w="711" w:type="pct"/>
            <w:tcBorders>
              <w:top w:val="single" w:sz="18" w:space="0" w:color="auto"/>
              <w:bottom w:val="single" w:sz="18" w:space="0" w:color="auto"/>
            </w:tcBorders>
            <w:shd w:val="clear" w:color="auto" w:fill="D9D9D9"/>
            <w:vAlign w:val="center"/>
          </w:tcPr>
          <w:p w14:paraId="20FA4183" w14:textId="77777777" w:rsidR="0085140E" w:rsidRPr="00FB7CC4" w:rsidRDefault="0085140E" w:rsidP="00B002A0">
            <w:pPr>
              <w:jc w:val="center"/>
              <w:rPr>
                <w:rFonts w:ascii="Arial" w:hAnsi="Arial" w:cs="Arial"/>
                <w:b/>
              </w:rPr>
            </w:pPr>
            <w:r>
              <w:rPr>
                <w:rFonts w:ascii="Arial" w:hAnsi="Arial" w:cs="Arial"/>
                <w:b/>
              </w:rPr>
              <w:t>Generation</w:t>
            </w:r>
          </w:p>
        </w:tc>
        <w:tc>
          <w:tcPr>
            <w:tcW w:w="326" w:type="pct"/>
            <w:tcBorders>
              <w:top w:val="single" w:sz="18" w:space="0" w:color="auto"/>
              <w:bottom w:val="single" w:sz="18" w:space="0" w:color="auto"/>
            </w:tcBorders>
            <w:shd w:val="clear" w:color="auto" w:fill="D9D9D9"/>
            <w:vAlign w:val="center"/>
          </w:tcPr>
          <w:p w14:paraId="3BB0021A" w14:textId="77777777" w:rsidR="0085140E" w:rsidRPr="00FB7CC4" w:rsidRDefault="0085140E" w:rsidP="00B002A0">
            <w:pPr>
              <w:jc w:val="center"/>
              <w:rPr>
                <w:rFonts w:ascii="Arial" w:hAnsi="Arial" w:cs="Arial"/>
                <w:b/>
              </w:rPr>
            </w:pPr>
            <w:r>
              <w:rPr>
                <w:rFonts w:ascii="Arial" w:hAnsi="Arial" w:cs="Arial"/>
                <w:b/>
              </w:rPr>
              <w:t>Age</w:t>
            </w:r>
          </w:p>
        </w:tc>
        <w:tc>
          <w:tcPr>
            <w:tcW w:w="566" w:type="pct"/>
            <w:tcBorders>
              <w:top w:val="single" w:sz="18" w:space="0" w:color="auto"/>
              <w:bottom w:val="single" w:sz="18" w:space="0" w:color="auto"/>
            </w:tcBorders>
            <w:shd w:val="clear" w:color="auto" w:fill="D9D9D9"/>
            <w:vAlign w:val="center"/>
          </w:tcPr>
          <w:p w14:paraId="6A4D6C2B" w14:textId="77777777" w:rsidR="0085140E" w:rsidRPr="00FB7CC4" w:rsidRDefault="0085140E" w:rsidP="00B002A0">
            <w:pPr>
              <w:jc w:val="center"/>
              <w:rPr>
                <w:rFonts w:ascii="Arial" w:hAnsi="Arial" w:cs="Arial"/>
                <w:b/>
              </w:rPr>
            </w:pPr>
            <w:r>
              <w:rPr>
                <w:rFonts w:ascii="Arial" w:hAnsi="Arial" w:cs="Arial"/>
                <w:b/>
              </w:rPr>
              <w:t>Affected Status</w:t>
            </w:r>
          </w:p>
        </w:tc>
        <w:tc>
          <w:tcPr>
            <w:tcW w:w="1431" w:type="pct"/>
            <w:tcBorders>
              <w:top w:val="single" w:sz="18" w:space="0" w:color="auto"/>
              <w:bottom w:val="single" w:sz="18" w:space="0" w:color="auto"/>
            </w:tcBorders>
            <w:shd w:val="clear" w:color="auto" w:fill="D9D9D9"/>
            <w:vAlign w:val="center"/>
          </w:tcPr>
          <w:p w14:paraId="373BADD3" w14:textId="77777777" w:rsidR="0085140E" w:rsidRPr="00FB7CC4" w:rsidRDefault="0085140E" w:rsidP="00B002A0">
            <w:pPr>
              <w:jc w:val="center"/>
              <w:rPr>
                <w:rFonts w:ascii="Arial" w:hAnsi="Arial" w:cs="Arial"/>
                <w:b/>
              </w:rPr>
            </w:pPr>
            <w:r>
              <w:rPr>
                <w:rFonts w:ascii="Arial" w:hAnsi="Arial" w:cs="Arial"/>
                <w:b/>
              </w:rPr>
              <w:t>Allele 1</w:t>
            </w:r>
          </w:p>
        </w:tc>
        <w:tc>
          <w:tcPr>
            <w:tcW w:w="1496" w:type="pct"/>
            <w:tcBorders>
              <w:top w:val="single" w:sz="18" w:space="0" w:color="auto"/>
              <w:bottom w:val="single" w:sz="18" w:space="0" w:color="auto"/>
            </w:tcBorders>
            <w:shd w:val="clear" w:color="auto" w:fill="D9D9D9"/>
            <w:vAlign w:val="center"/>
          </w:tcPr>
          <w:p w14:paraId="07884954" w14:textId="77777777" w:rsidR="0085140E" w:rsidRPr="00FB7CC4" w:rsidRDefault="0085140E" w:rsidP="00B002A0">
            <w:pPr>
              <w:jc w:val="center"/>
              <w:rPr>
                <w:rFonts w:ascii="Arial" w:hAnsi="Arial" w:cs="Arial"/>
                <w:b/>
              </w:rPr>
            </w:pPr>
            <w:r>
              <w:rPr>
                <w:rFonts w:ascii="Arial" w:hAnsi="Arial" w:cs="Arial"/>
                <w:b/>
              </w:rPr>
              <w:t>Allele 2</w:t>
            </w:r>
          </w:p>
        </w:tc>
      </w:tr>
      <w:tr w:rsidR="0085140E" w:rsidRPr="00FB7CC4" w14:paraId="66C88833" w14:textId="77777777" w:rsidTr="00FE50C9">
        <w:tc>
          <w:tcPr>
            <w:tcW w:w="471"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71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Pr>
                <w:rFonts w:ascii="Arial" w:hAnsi="Arial" w:cs="Arial"/>
                <w:bCs/>
              </w:rPr>
              <w:t>I-1</w:t>
            </w:r>
          </w:p>
        </w:tc>
        <w:tc>
          <w:tcPr>
            <w:tcW w:w="326"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Pr>
                <w:rFonts w:ascii="Arial" w:hAnsi="Arial" w:cs="Arial"/>
                <w:bCs/>
              </w:rPr>
              <w:t>74</w:t>
            </w:r>
          </w:p>
        </w:tc>
        <w:tc>
          <w:tcPr>
            <w:tcW w:w="566"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single" w:sz="18" w:space="0" w:color="auto"/>
              <w:bottom w:val="nil"/>
            </w:tcBorders>
            <w:vAlign w:val="center"/>
          </w:tcPr>
          <w:p w14:paraId="00F98CB8" w14:textId="3B917488" w:rsidR="0085140E" w:rsidRPr="00480E93" w:rsidRDefault="0085140E" w:rsidP="00B002A0">
            <w:pPr>
              <w:ind w:firstLine="165"/>
            </w:pPr>
            <w:r>
              <w:rPr>
                <w:rFonts w:ascii="Arial" w:hAnsi="Arial" w:cs="Arial"/>
              </w:rPr>
              <w:t xml:space="preserve">c.839C&gt;T, p.(Pro280Leu) </w:t>
            </w:r>
            <w:hyperlink w:anchor="bib1" w:history="1">
              <w:r w:rsidRPr="00480E93">
                <w:rPr>
                  <w:rStyle w:val="Hyperlink"/>
                  <w:rFonts w:ascii="Arial" w:hAnsi="Arial" w:cs="Arial"/>
                  <w:vertAlign w:val="superscript"/>
                </w:rPr>
                <w:t>1</w:t>
              </w:r>
            </w:hyperlink>
          </w:p>
        </w:tc>
        <w:tc>
          <w:tcPr>
            <w:tcW w:w="1496"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FE50C9">
        <w:tc>
          <w:tcPr>
            <w:tcW w:w="471" w:type="pct"/>
            <w:vMerge/>
            <w:tcBorders>
              <w:top w:val="nil"/>
              <w:bottom w:val="nil"/>
            </w:tcBorders>
          </w:tcPr>
          <w:p w14:paraId="361E04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Pr>
                <w:rFonts w:ascii="Arial" w:hAnsi="Arial" w:cs="Arial"/>
                <w:bCs/>
              </w:rPr>
              <w:t>I-2</w:t>
            </w:r>
          </w:p>
        </w:tc>
        <w:tc>
          <w:tcPr>
            <w:tcW w:w="326"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Pr>
                <w:rFonts w:ascii="Arial" w:hAnsi="Arial" w:cs="Arial"/>
                <w:bCs/>
              </w:rPr>
              <w:t>73</w:t>
            </w:r>
          </w:p>
        </w:tc>
        <w:tc>
          <w:tcPr>
            <w:tcW w:w="566"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vAlign w:val="center"/>
          </w:tcPr>
          <w:p w14:paraId="04FB69DC" w14:textId="08034C6D" w:rsidR="0085140E" w:rsidRPr="00480E93" w:rsidRDefault="0085140E" w:rsidP="00B002A0">
            <w:pPr>
              <w:ind w:firstLine="353"/>
            </w:pPr>
            <w:r>
              <w:rPr>
                <w:rFonts w:ascii="Arial" w:hAnsi="Arial" w:cs="Arial"/>
                <w:bCs/>
              </w:rPr>
              <w:t xml:space="preserve">n.-97G&gt;C, c.-690G&gt;C </w:t>
            </w:r>
            <w:hyperlink w:anchor="bib2" w:history="1">
              <w:r w:rsidRPr="00480E93">
                <w:rPr>
                  <w:rStyle w:val="Hyperlink"/>
                  <w:rFonts w:ascii="Arial" w:hAnsi="Arial" w:cs="Arial"/>
                  <w:bCs/>
                  <w:vertAlign w:val="superscript"/>
                </w:rPr>
                <w:t>2</w:t>
              </w:r>
            </w:hyperlink>
            <w:r w:rsidRPr="00FB7CC4">
              <w:rPr>
                <w:rFonts w:ascii="Arial" w:hAnsi="Arial" w:cs="Arial"/>
                <w:bCs/>
                <w:vertAlign w:val="superscript"/>
              </w:rPr>
              <w:t>,</w:t>
            </w:r>
            <w:hyperlink w:anchor="bib5" w:history="1">
              <w:r w:rsidRPr="00480E93">
                <w:rPr>
                  <w:rStyle w:val="Hyperlink"/>
                  <w:rFonts w:ascii="Arial" w:hAnsi="Arial" w:cs="Arial"/>
                  <w:bCs/>
                  <w:vertAlign w:val="superscript"/>
                </w:rPr>
                <w:t>5</w:t>
              </w:r>
            </w:hyperlink>
          </w:p>
        </w:tc>
      </w:tr>
      <w:tr w:rsidR="0085140E" w:rsidRPr="00FB7CC4" w14:paraId="6EF56064" w14:textId="77777777" w:rsidTr="00FE50C9">
        <w:tc>
          <w:tcPr>
            <w:tcW w:w="471" w:type="pct"/>
            <w:vMerge/>
            <w:tcBorders>
              <w:top w:val="nil"/>
              <w:bottom w:val="nil"/>
            </w:tcBorders>
          </w:tcPr>
          <w:p w14:paraId="2038FCA2" w14:textId="77777777" w:rsidR="0085140E" w:rsidRPr="00FB7CC4" w:rsidRDefault="0085140E" w:rsidP="00B002A0">
            <w:pPr>
              <w:rPr>
                <w:rFonts w:ascii="Arial" w:hAnsi="Arial" w:cs="Arial"/>
                <w:bCs/>
              </w:rPr>
            </w:pPr>
          </w:p>
        </w:tc>
        <w:tc>
          <w:tcPr>
            <w:tcW w:w="711" w:type="pct"/>
            <w:tcBorders>
              <w:top w:val="nil"/>
              <w:bottom w:val="nil"/>
            </w:tcBorders>
          </w:tcPr>
          <w:p w14:paraId="4540910B" w14:textId="77777777" w:rsidR="0085140E" w:rsidRPr="00FB7CC4" w:rsidRDefault="0085140E" w:rsidP="00B002A0">
            <w:pPr>
              <w:ind w:right="256"/>
              <w:jc w:val="right"/>
              <w:rPr>
                <w:rFonts w:ascii="Arial" w:hAnsi="Arial" w:cs="Arial"/>
                <w:bCs/>
              </w:rPr>
            </w:pPr>
            <w:r>
              <w:rPr>
                <w:rFonts w:ascii="Arial" w:hAnsi="Arial" w:cs="Arial"/>
                <w:bCs/>
              </w:rPr>
              <w:t>II-1</w:t>
            </w:r>
          </w:p>
        </w:tc>
        <w:tc>
          <w:tcPr>
            <w:tcW w:w="326" w:type="pct"/>
            <w:tcBorders>
              <w:top w:val="nil"/>
              <w:bottom w:val="nil"/>
            </w:tcBorders>
          </w:tcPr>
          <w:p w14:paraId="590923B1" w14:textId="77777777" w:rsidR="0085140E" w:rsidRPr="00FB7CC4" w:rsidRDefault="0085140E" w:rsidP="00B002A0">
            <w:pPr>
              <w:jc w:val="center"/>
              <w:rPr>
                <w:rFonts w:ascii="Arial" w:hAnsi="Arial" w:cs="Arial"/>
                <w:bCs/>
              </w:rPr>
            </w:pPr>
            <w:r>
              <w:rPr>
                <w:rFonts w:ascii="Arial" w:hAnsi="Arial" w:cs="Arial"/>
                <w:bCs/>
              </w:rPr>
              <w:t>52</w:t>
            </w:r>
          </w:p>
        </w:tc>
        <w:tc>
          <w:tcPr>
            <w:tcW w:w="566" w:type="pct"/>
            <w:tcBorders>
              <w:top w:val="nil"/>
              <w:bottom w:val="nil"/>
            </w:tcBorders>
          </w:tcPr>
          <w:p w14:paraId="4EAB2F31"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28898F93" w14:textId="77777777" w:rsidTr="00FE50C9">
        <w:tc>
          <w:tcPr>
            <w:tcW w:w="471" w:type="pct"/>
            <w:vMerge/>
            <w:tcBorders>
              <w:top w:val="nil"/>
              <w:bottom w:val="nil"/>
            </w:tcBorders>
          </w:tcPr>
          <w:p w14:paraId="567FBC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Pr>
                <w:rFonts w:ascii="Arial" w:hAnsi="Arial" w:cs="Arial"/>
                <w:bCs/>
              </w:rPr>
              <w:t>► II-2</w:t>
            </w:r>
          </w:p>
        </w:tc>
        <w:tc>
          <w:tcPr>
            <w:tcW w:w="326"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Pr>
                <w:rFonts w:ascii="Arial" w:hAnsi="Arial" w:cs="Arial"/>
                <w:bCs/>
              </w:rPr>
              <w:t>50</w:t>
            </w:r>
          </w:p>
        </w:tc>
        <w:tc>
          <w:tcPr>
            <w:tcW w:w="566"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Pr>
                <w:rFonts w:ascii="Arial" w:hAnsi="Arial" w:cs="Arial"/>
              </w:rPr>
              <w:t>c.839C&gt;T, p.(Pro280Leu)</w:t>
            </w:r>
          </w:p>
        </w:tc>
        <w:tc>
          <w:tcPr>
            <w:tcW w:w="1496"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492C2013" w14:textId="77777777" w:rsidTr="00FE50C9">
        <w:tc>
          <w:tcPr>
            <w:tcW w:w="471"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Pr>
                <w:rFonts w:ascii="Arial" w:hAnsi="Arial" w:cs="Arial"/>
                <w:bCs/>
              </w:rPr>
              <w:t>III-1</w:t>
            </w:r>
          </w:p>
        </w:tc>
        <w:tc>
          <w:tcPr>
            <w:tcW w:w="326"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Pr>
                <w:rFonts w:ascii="Arial" w:hAnsi="Arial" w:cs="Arial"/>
                <w:bCs/>
              </w:rPr>
              <w:t>25</w:t>
            </w:r>
          </w:p>
        </w:tc>
        <w:tc>
          <w:tcPr>
            <w:tcW w:w="566"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21EBDB8A" w14:textId="77777777" w:rsidTr="00FE50C9">
        <w:tc>
          <w:tcPr>
            <w:tcW w:w="471"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71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Pr>
                <w:rFonts w:ascii="Arial" w:hAnsi="Arial" w:cs="Arial"/>
                <w:bCs/>
              </w:rPr>
              <w:t>► II-1</w:t>
            </w:r>
          </w:p>
        </w:tc>
        <w:tc>
          <w:tcPr>
            <w:tcW w:w="326"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Pr>
                <w:rFonts w:ascii="Arial" w:hAnsi="Arial" w:cs="Arial"/>
                <w:bCs/>
              </w:rPr>
              <w:t>49</w:t>
            </w:r>
          </w:p>
        </w:tc>
        <w:tc>
          <w:tcPr>
            <w:tcW w:w="566"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621770DF" w14:textId="77777777" w:rsidTr="00FE50C9">
        <w:tc>
          <w:tcPr>
            <w:tcW w:w="471" w:type="pct"/>
            <w:vMerge/>
            <w:tcBorders>
              <w:top w:val="nil"/>
              <w:bottom w:val="nil"/>
            </w:tcBorders>
          </w:tcPr>
          <w:p w14:paraId="705204B0"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Pr>
                <w:rFonts w:ascii="Arial" w:hAnsi="Arial" w:cs="Arial"/>
                <w:bCs/>
              </w:rPr>
              <w:t>II-2</w:t>
            </w:r>
          </w:p>
        </w:tc>
        <w:tc>
          <w:tcPr>
            <w:tcW w:w="326" w:type="pct"/>
            <w:tcBorders>
              <w:top w:val="nil"/>
              <w:bottom w:val="nil"/>
            </w:tcBorders>
          </w:tcPr>
          <w:p w14:paraId="06E87E0F" w14:textId="77777777" w:rsidR="0085140E" w:rsidRPr="00FB7CC4" w:rsidRDefault="0085140E" w:rsidP="00B002A0">
            <w:pPr>
              <w:jc w:val="center"/>
              <w:rPr>
                <w:rFonts w:ascii="Arial" w:hAnsi="Arial" w:cs="Arial"/>
                <w:bCs/>
              </w:rPr>
            </w:pPr>
            <w:r>
              <w:rPr>
                <w:rFonts w:ascii="Arial" w:hAnsi="Arial" w:cs="Arial"/>
                <w:bCs/>
              </w:rPr>
              <w:t>45</w:t>
            </w:r>
          </w:p>
        </w:tc>
        <w:tc>
          <w:tcPr>
            <w:tcW w:w="566"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4587D530" w14:textId="77777777" w:rsidTr="00FE50C9">
        <w:tc>
          <w:tcPr>
            <w:tcW w:w="471"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Pr>
                <w:rFonts w:ascii="Arial" w:hAnsi="Arial" w:cs="Arial"/>
                <w:bCs/>
              </w:rPr>
              <w:t>III-1</w:t>
            </w:r>
          </w:p>
        </w:tc>
        <w:tc>
          <w:tcPr>
            <w:tcW w:w="326"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Pr>
                <w:rFonts w:ascii="Arial" w:hAnsi="Arial" w:cs="Arial"/>
                <w:bCs/>
              </w:rPr>
              <w:t>23</w:t>
            </w:r>
          </w:p>
        </w:tc>
        <w:tc>
          <w:tcPr>
            <w:tcW w:w="566"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FE50C9">
        <w:tc>
          <w:tcPr>
            <w:tcW w:w="471"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71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Pr>
                <w:rFonts w:ascii="Arial" w:hAnsi="Arial" w:cs="Arial"/>
                <w:bCs/>
              </w:rPr>
              <w:t>II-1</w:t>
            </w:r>
          </w:p>
        </w:tc>
        <w:tc>
          <w:tcPr>
            <w:tcW w:w="326"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Pr>
                <w:rFonts w:ascii="Arial" w:hAnsi="Arial" w:cs="Arial"/>
                <w:bCs/>
              </w:rPr>
              <w:t>72</w:t>
            </w:r>
          </w:p>
        </w:tc>
        <w:tc>
          <w:tcPr>
            <w:tcW w:w="566"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single" w:sz="12" w:space="0" w:color="auto"/>
              <w:bottom w:val="nil"/>
            </w:tcBorders>
            <w:vAlign w:val="center"/>
          </w:tcPr>
          <w:p w14:paraId="17DC65D3" w14:textId="6F96A2C6" w:rsidR="0085140E" w:rsidRPr="00480E93" w:rsidRDefault="0085140E" w:rsidP="00B002A0">
            <w:pPr>
              <w:ind w:firstLine="165"/>
            </w:pPr>
            <w:r>
              <w:rPr>
                <w:rFonts w:ascii="Arial" w:hAnsi="Arial" w:cs="Arial"/>
                <w:bCs/>
              </w:rPr>
              <w:t xml:space="preserve">c.803A&gt;G, p.(Tyr268Cys) </w:t>
            </w:r>
            <w:hyperlink w:anchor="bib3" w:history="1">
              <w:r w:rsidRPr="00480E93">
                <w:rPr>
                  <w:rStyle w:val="Hyperlink"/>
                  <w:rFonts w:ascii="Arial" w:hAnsi="Arial" w:cs="Arial"/>
                  <w:bCs/>
                  <w:vertAlign w:val="superscript"/>
                </w:rPr>
                <w:t>3</w:t>
              </w:r>
            </w:hyperlink>
          </w:p>
        </w:tc>
        <w:tc>
          <w:tcPr>
            <w:tcW w:w="1496"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19063AFD" w14:textId="77777777" w:rsidTr="00FE50C9">
        <w:tc>
          <w:tcPr>
            <w:tcW w:w="471" w:type="pct"/>
            <w:vMerge/>
            <w:tcBorders>
              <w:top w:val="nil"/>
              <w:bottom w:val="nil"/>
            </w:tcBorders>
          </w:tcPr>
          <w:p w14:paraId="0F41DA1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Pr>
                <w:rFonts w:ascii="Arial" w:hAnsi="Arial" w:cs="Arial"/>
                <w:bCs/>
              </w:rPr>
              <w:t>II-4</w:t>
            </w:r>
          </w:p>
        </w:tc>
        <w:tc>
          <w:tcPr>
            <w:tcW w:w="326"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Pr>
                <w:rFonts w:ascii="Arial" w:hAnsi="Arial" w:cs="Arial"/>
                <w:bCs/>
              </w:rPr>
              <w:t>66</w:t>
            </w:r>
          </w:p>
        </w:tc>
        <w:tc>
          <w:tcPr>
            <w:tcW w:w="566"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7E6591E8" w14:textId="77777777" w:rsidTr="00FE50C9">
        <w:tc>
          <w:tcPr>
            <w:tcW w:w="471" w:type="pct"/>
            <w:vMerge/>
            <w:tcBorders>
              <w:top w:val="nil"/>
              <w:bottom w:val="nil"/>
            </w:tcBorders>
          </w:tcPr>
          <w:p w14:paraId="1F11CB0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Pr>
                <w:rFonts w:ascii="Arial" w:hAnsi="Arial" w:cs="Arial"/>
                <w:bCs/>
              </w:rPr>
              <w:t>► II-5</w:t>
            </w:r>
          </w:p>
        </w:tc>
        <w:tc>
          <w:tcPr>
            <w:tcW w:w="326" w:type="pct"/>
            <w:tcBorders>
              <w:top w:val="nil"/>
              <w:bottom w:val="nil"/>
            </w:tcBorders>
          </w:tcPr>
          <w:p w14:paraId="068EFA43" w14:textId="77777777" w:rsidR="0085140E" w:rsidRPr="00FB7CC4" w:rsidRDefault="0085140E" w:rsidP="00B002A0">
            <w:pPr>
              <w:jc w:val="center"/>
              <w:rPr>
                <w:rFonts w:ascii="Arial" w:hAnsi="Arial" w:cs="Arial"/>
                <w:bCs/>
              </w:rPr>
            </w:pPr>
            <w:r>
              <w:rPr>
                <w:rFonts w:ascii="Arial" w:hAnsi="Arial" w:cs="Arial"/>
                <w:bCs/>
              </w:rPr>
              <w:t>60</w:t>
            </w:r>
          </w:p>
        </w:tc>
        <w:tc>
          <w:tcPr>
            <w:tcW w:w="566"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nil"/>
              <w:bottom w:val="nil"/>
            </w:tcBorders>
          </w:tcPr>
          <w:p w14:paraId="0F0BC2AF" w14:textId="77777777" w:rsidR="0085140E" w:rsidRPr="00FB7CC4" w:rsidRDefault="0085140E" w:rsidP="00B002A0">
            <w:pPr>
              <w:ind w:firstLine="165"/>
              <w:rPr>
                <w:rFonts w:ascii="Arial" w:hAnsi="Arial" w:cs="Arial"/>
                <w:bCs/>
              </w:rPr>
            </w:pPr>
            <w:r>
              <w:rPr>
                <w:rFonts w:ascii="Arial" w:hAnsi="Arial" w:cs="Arial"/>
                <w:bCs/>
              </w:rPr>
              <w:t>c.803A&gt;G, p.(Tyr268Cys)</w:t>
            </w:r>
          </w:p>
        </w:tc>
        <w:tc>
          <w:tcPr>
            <w:tcW w:w="1496" w:type="pct"/>
            <w:tcBorders>
              <w:top w:val="nil"/>
              <w:bottom w:val="nil"/>
            </w:tcBorders>
          </w:tcPr>
          <w:p w14:paraId="51387822"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7B1E787C" w14:textId="77777777" w:rsidTr="00FE50C9">
        <w:tc>
          <w:tcPr>
            <w:tcW w:w="471" w:type="pct"/>
            <w:vMerge/>
            <w:tcBorders>
              <w:top w:val="nil"/>
              <w:bottom w:val="nil"/>
            </w:tcBorders>
          </w:tcPr>
          <w:p w14:paraId="199B5E28"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Pr>
                <w:rFonts w:ascii="Arial" w:hAnsi="Arial" w:cs="Arial"/>
                <w:bCs/>
              </w:rPr>
              <w:t>II-6</w:t>
            </w:r>
          </w:p>
        </w:tc>
        <w:tc>
          <w:tcPr>
            <w:tcW w:w="326"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Pr>
                <w:rFonts w:ascii="Arial" w:hAnsi="Arial" w:cs="Arial"/>
                <w:bCs/>
              </w:rPr>
              <w:t>56</w:t>
            </w:r>
          </w:p>
        </w:tc>
        <w:tc>
          <w:tcPr>
            <w:tcW w:w="566"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589C0CBA" w14:textId="77777777" w:rsidTr="00FE50C9">
        <w:tc>
          <w:tcPr>
            <w:tcW w:w="471" w:type="pct"/>
            <w:vMerge/>
            <w:tcBorders>
              <w:top w:val="nil"/>
              <w:bottom w:val="nil"/>
            </w:tcBorders>
          </w:tcPr>
          <w:p w14:paraId="5B011A7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Pr>
                <w:rFonts w:ascii="Arial" w:hAnsi="Arial" w:cs="Arial"/>
                <w:bCs/>
              </w:rPr>
              <w:t>II-7</w:t>
            </w:r>
          </w:p>
        </w:tc>
        <w:tc>
          <w:tcPr>
            <w:tcW w:w="326" w:type="pct"/>
            <w:tcBorders>
              <w:top w:val="nil"/>
              <w:bottom w:val="nil"/>
            </w:tcBorders>
          </w:tcPr>
          <w:p w14:paraId="0BDF8192" w14:textId="77777777" w:rsidR="0085140E" w:rsidRPr="00FB7CC4" w:rsidRDefault="0085140E" w:rsidP="00B002A0">
            <w:pPr>
              <w:jc w:val="center"/>
              <w:rPr>
                <w:rFonts w:ascii="Arial" w:hAnsi="Arial" w:cs="Arial"/>
                <w:bCs/>
              </w:rPr>
            </w:pPr>
            <w:r>
              <w:rPr>
                <w:rFonts w:ascii="Arial" w:hAnsi="Arial" w:cs="Arial"/>
                <w:bCs/>
              </w:rPr>
              <w:t>52</w:t>
            </w:r>
          </w:p>
        </w:tc>
        <w:tc>
          <w:tcPr>
            <w:tcW w:w="566"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FEA3FBC"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2E44D4A0" w14:textId="77777777" w:rsidTr="00FE50C9">
        <w:tc>
          <w:tcPr>
            <w:tcW w:w="471" w:type="pct"/>
            <w:vMerge/>
            <w:tcBorders>
              <w:top w:val="nil"/>
              <w:bottom w:val="nil"/>
            </w:tcBorders>
          </w:tcPr>
          <w:p w14:paraId="75A117F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Pr>
                <w:rFonts w:ascii="Arial" w:hAnsi="Arial" w:cs="Arial"/>
                <w:bCs/>
              </w:rPr>
              <w:t>III-1</w:t>
            </w:r>
          </w:p>
        </w:tc>
        <w:tc>
          <w:tcPr>
            <w:tcW w:w="326"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Pr>
                <w:rFonts w:ascii="Arial" w:hAnsi="Arial" w:cs="Arial"/>
                <w:bCs/>
              </w:rPr>
              <w:t>40</w:t>
            </w:r>
          </w:p>
        </w:tc>
        <w:tc>
          <w:tcPr>
            <w:tcW w:w="566"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Pr>
                <w:rFonts w:ascii="Arial" w:hAnsi="Arial" w:cs="Arial"/>
                <w:bCs/>
              </w:rPr>
              <w:t>No</w:t>
            </w:r>
          </w:p>
        </w:tc>
        <w:tc>
          <w:tcPr>
            <w:tcW w:w="1431"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Pr>
                <w:rFonts w:ascii="Arial" w:hAnsi="Arial" w:cs="Arial"/>
                <w:bCs/>
              </w:rPr>
              <w:t>c.803A&gt;G, p.(Tyr268Cys)</w:t>
            </w:r>
          </w:p>
        </w:tc>
        <w:tc>
          <w:tcPr>
            <w:tcW w:w="1496"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FE50C9">
        <w:tc>
          <w:tcPr>
            <w:tcW w:w="471" w:type="pct"/>
            <w:vMerge/>
            <w:tcBorders>
              <w:top w:val="nil"/>
              <w:bottom w:val="nil"/>
            </w:tcBorders>
          </w:tcPr>
          <w:p w14:paraId="219DB74C" w14:textId="77777777" w:rsidR="0085140E" w:rsidRPr="00FB7CC4" w:rsidRDefault="0085140E" w:rsidP="00B002A0">
            <w:pPr>
              <w:rPr>
                <w:rFonts w:ascii="Arial" w:hAnsi="Arial" w:cs="Arial"/>
                <w:bCs/>
              </w:rPr>
            </w:pPr>
          </w:p>
        </w:tc>
        <w:tc>
          <w:tcPr>
            <w:tcW w:w="71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Pr>
                <w:rFonts w:ascii="Arial" w:hAnsi="Arial" w:cs="Arial"/>
                <w:bCs/>
              </w:rPr>
              <w:t>III-2</w:t>
            </w:r>
          </w:p>
        </w:tc>
        <w:tc>
          <w:tcPr>
            <w:tcW w:w="326" w:type="pct"/>
            <w:tcBorders>
              <w:top w:val="nil"/>
              <w:bottom w:val="nil"/>
            </w:tcBorders>
          </w:tcPr>
          <w:p w14:paraId="6791207A" w14:textId="77777777" w:rsidR="0085140E" w:rsidRPr="00FB7CC4" w:rsidRDefault="0085140E" w:rsidP="00B002A0">
            <w:pPr>
              <w:jc w:val="center"/>
              <w:rPr>
                <w:rFonts w:ascii="Arial" w:hAnsi="Arial" w:cs="Arial"/>
                <w:bCs/>
              </w:rPr>
            </w:pPr>
            <w:r>
              <w:rPr>
                <w:rFonts w:ascii="Arial" w:hAnsi="Arial" w:cs="Arial"/>
                <w:bCs/>
              </w:rPr>
              <w:t>37</w:t>
            </w:r>
          </w:p>
        </w:tc>
        <w:tc>
          <w:tcPr>
            <w:tcW w:w="566" w:type="pct"/>
            <w:tcBorders>
              <w:top w:val="nil"/>
              <w:bottom w:val="nil"/>
            </w:tcBorders>
            <w:vAlign w:val="center"/>
          </w:tcPr>
          <w:p w14:paraId="4597D305" w14:textId="77777777" w:rsidR="0085140E" w:rsidRPr="00FB7CC4" w:rsidRDefault="0085140E" w:rsidP="00B002A0">
            <w:pPr>
              <w:jc w:val="center"/>
              <w:rPr>
                <w:rFonts w:ascii="Arial" w:hAnsi="Arial" w:cs="Arial"/>
                <w:b/>
              </w:rPr>
            </w:pPr>
            <w:r>
              <w:rPr>
                <w:rFonts w:ascii="Arial" w:hAnsi="Arial" w:cs="Arial"/>
                <w:bCs/>
              </w:rPr>
              <w:t>No</w:t>
            </w:r>
          </w:p>
        </w:tc>
        <w:tc>
          <w:tcPr>
            <w:tcW w:w="1431"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19CE5578"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6EEE93ED" w14:textId="77777777" w:rsidTr="00FE50C9">
        <w:tc>
          <w:tcPr>
            <w:tcW w:w="471"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71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Pr>
                <w:rFonts w:ascii="Arial" w:hAnsi="Arial" w:cs="Arial"/>
                <w:bCs/>
              </w:rPr>
              <w:t>III-3</w:t>
            </w:r>
          </w:p>
        </w:tc>
        <w:tc>
          <w:tcPr>
            <w:tcW w:w="326"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Pr>
                <w:rFonts w:ascii="Arial" w:hAnsi="Arial" w:cs="Arial"/>
                <w:bCs/>
              </w:rPr>
              <w:t>35</w:t>
            </w:r>
          </w:p>
        </w:tc>
        <w:tc>
          <w:tcPr>
            <w:tcW w:w="566"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Pr>
                <w:rFonts w:ascii="Arial" w:hAnsi="Arial" w:cs="Arial"/>
                <w:bCs/>
              </w:rPr>
              <w:t>No</w:t>
            </w:r>
          </w:p>
        </w:tc>
        <w:tc>
          <w:tcPr>
            <w:tcW w:w="1431"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FE50C9">
        <w:tc>
          <w:tcPr>
            <w:tcW w:w="471" w:type="pct"/>
            <w:vMerge/>
            <w:tcBorders>
              <w:top w:val="nil"/>
              <w:bottom w:val="nil"/>
            </w:tcBorders>
          </w:tcPr>
          <w:p w14:paraId="51ADDF2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Pr>
                <w:rFonts w:ascii="Arial" w:hAnsi="Arial" w:cs="Arial"/>
                <w:bCs/>
              </w:rPr>
              <w:t>III-4</w:t>
            </w:r>
          </w:p>
        </w:tc>
        <w:tc>
          <w:tcPr>
            <w:tcW w:w="326" w:type="pct"/>
            <w:tcBorders>
              <w:top w:val="nil"/>
              <w:bottom w:val="nil"/>
            </w:tcBorders>
          </w:tcPr>
          <w:p w14:paraId="250102EB" w14:textId="77777777" w:rsidR="0085140E" w:rsidRPr="00FB7CC4" w:rsidRDefault="0085140E" w:rsidP="00B002A0">
            <w:pPr>
              <w:jc w:val="center"/>
              <w:rPr>
                <w:rFonts w:ascii="Arial" w:hAnsi="Arial" w:cs="Arial"/>
                <w:bCs/>
              </w:rPr>
            </w:pPr>
            <w:r>
              <w:rPr>
                <w:rFonts w:ascii="Arial" w:hAnsi="Arial" w:cs="Arial"/>
                <w:bCs/>
              </w:rPr>
              <w:t>33</w:t>
            </w:r>
          </w:p>
        </w:tc>
        <w:tc>
          <w:tcPr>
            <w:tcW w:w="566" w:type="pct"/>
            <w:tcBorders>
              <w:top w:val="nil"/>
              <w:bottom w:val="nil"/>
            </w:tcBorders>
            <w:vAlign w:val="center"/>
          </w:tcPr>
          <w:p w14:paraId="32D9A526" w14:textId="77777777" w:rsidR="0085140E" w:rsidRPr="00FB7CC4" w:rsidRDefault="0085140E" w:rsidP="00B002A0">
            <w:pPr>
              <w:jc w:val="center"/>
              <w:rPr>
                <w:rFonts w:ascii="Arial" w:hAnsi="Arial" w:cs="Arial"/>
                <w:b/>
              </w:rPr>
            </w:pPr>
            <w:r>
              <w:rPr>
                <w:rFonts w:ascii="Arial" w:hAnsi="Arial" w:cs="Arial"/>
                <w:bCs/>
              </w:rPr>
              <w:t>No</w:t>
            </w:r>
          </w:p>
        </w:tc>
        <w:tc>
          <w:tcPr>
            <w:tcW w:w="1431" w:type="pct"/>
            <w:tcBorders>
              <w:top w:val="nil"/>
              <w:bottom w:val="nil"/>
            </w:tcBorders>
          </w:tcPr>
          <w:p w14:paraId="62A169FC" w14:textId="77777777" w:rsidR="0085140E" w:rsidRPr="00FB7CC4" w:rsidRDefault="0085140E" w:rsidP="00B002A0">
            <w:pPr>
              <w:ind w:firstLine="165"/>
              <w:rPr>
                <w:rFonts w:ascii="Arial" w:hAnsi="Arial" w:cs="Arial"/>
                <w:bCs/>
              </w:rPr>
            </w:pPr>
            <w:r>
              <w:rPr>
                <w:rFonts w:ascii="Arial" w:hAnsi="Arial" w:cs="Arial"/>
                <w:bCs/>
              </w:rPr>
              <w:t>c.803A&gt;G, p.(Tyr268Cys)</w:t>
            </w:r>
          </w:p>
        </w:tc>
        <w:tc>
          <w:tcPr>
            <w:tcW w:w="1496"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FE50C9">
        <w:tc>
          <w:tcPr>
            <w:tcW w:w="471"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Pr>
                <w:rFonts w:ascii="Arial" w:hAnsi="Arial" w:cs="Arial"/>
                <w:bCs/>
              </w:rPr>
              <w:t>III-5</w:t>
            </w:r>
          </w:p>
        </w:tc>
        <w:tc>
          <w:tcPr>
            <w:tcW w:w="326"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Pr>
                <w:rFonts w:ascii="Arial" w:hAnsi="Arial" w:cs="Arial"/>
                <w:bCs/>
              </w:rPr>
              <w:t>30</w:t>
            </w:r>
          </w:p>
        </w:tc>
        <w:tc>
          <w:tcPr>
            <w:tcW w:w="566"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Pr>
                <w:rFonts w:ascii="Arial" w:hAnsi="Arial" w:cs="Arial"/>
                <w:bCs/>
              </w:rPr>
              <w:t>No</w:t>
            </w:r>
          </w:p>
        </w:tc>
        <w:tc>
          <w:tcPr>
            <w:tcW w:w="1431"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3A454F29" w14:textId="77777777" w:rsidTr="00FE50C9">
        <w:tc>
          <w:tcPr>
            <w:tcW w:w="471"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71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Pr>
                <w:rFonts w:ascii="Arial" w:hAnsi="Arial" w:cs="Arial"/>
                <w:bCs/>
              </w:rPr>
              <w:t>I-1</w:t>
            </w:r>
          </w:p>
        </w:tc>
        <w:tc>
          <w:tcPr>
            <w:tcW w:w="326"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Pr>
                <w:rFonts w:ascii="Arial" w:hAnsi="Arial" w:cs="Arial"/>
                <w:bCs/>
              </w:rPr>
              <w:t>64</w:t>
            </w:r>
          </w:p>
        </w:tc>
        <w:tc>
          <w:tcPr>
            <w:tcW w:w="566"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single" w:sz="12" w:space="0" w:color="auto"/>
              <w:bottom w:val="nil"/>
            </w:tcBorders>
          </w:tcPr>
          <w:p w14:paraId="12899EEF" w14:textId="4EFD0063" w:rsidR="0085140E" w:rsidRPr="00480E93" w:rsidRDefault="0085140E" w:rsidP="00B002A0">
            <w:pPr>
              <w:ind w:firstLine="165"/>
            </w:pPr>
            <w:r>
              <w:rPr>
                <w:rFonts w:ascii="Arial" w:hAnsi="Arial" w:cs="Arial"/>
                <w:bCs/>
              </w:rPr>
              <w:t xml:space="preserve">c.632G&gt;A, p.(Arg211Gln) </w:t>
            </w:r>
            <w:hyperlink w:anchor="bib4" w:history="1">
              <w:r w:rsidRPr="00480E93">
                <w:rPr>
                  <w:rStyle w:val="Hyperlink"/>
                  <w:rFonts w:ascii="Arial" w:hAnsi="Arial" w:cs="Arial"/>
                  <w:bCs/>
                  <w:vertAlign w:val="superscript"/>
                </w:rPr>
                <w:t>4</w:t>
              </w:r>
            </w:hyperlink>
          </w:p>
        </w:tc>
        <w:tc>
          <w:tcPr>
            <w:tcW w:w="1496"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FE50C9">
        <w:tc>
          <w:tcPr>
            <w:tcW w:w="471" w:type="pct"/>
            <w:vMerge/>
            <w:tcBorders>
              <w:top w:val="nil"/>
              <w:bottom w:val="nil"/>
            </w:tcBorders>
          </w:tcPr>
          <w:p w14:paraId="0FFAB017"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Pr>
                <w:rFonts w:ascii="Arial" w:hAnsi="Arial" w:cs="Arial"/>
                <w:bCs/>
              </w:rPr>
              <w:t>► II-1</w:t>
            </w:r>
          </w:p>
        </w:tc>
        <w:tc>
          <w:tcPr>
            <w:tcW w:w="326"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Pr>
                <w:rFonts w:ascii="Arial" w:hAnsi="Arial" w:cs="Arial"/>
                <w:bCs/>
              </w:rPr>
              <w:t>41</w:t>
            </w:r>
          </w:p>
        </w:tc>
        <w:tc>
          <w:tcPr>
            <w:tcW w:w="566"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Pr>
                <w:rFonts w:ascii="Arial" w:hAnsi="Arial" w:cs="Arial"/>
                <w:bCs/>
              </w:rPr>
              <w:t>c.632G&gt;A, p.(Arg211Gln)</w:t>
            </w:r>
          </w:p>
        </w:tc>
        <w:tc>
          <w:tcPr>
            <w:tcW w:w="1496"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5AB1BA58" w14:textId="77777777" w:rsidTr="00FE50C9">
        <w:tc>
          <w:tcPr>
            <w:tcW w:w="471" w:type="pct"/>
            <w:vMerge/>
            <w:tcBorders>
              <w:top w:val="nil"/>
              <w:bottom w:val="nil"/>
            </w:tcBorders>
          </w:tcPr>
          <w:p w14:paraId="0D00E986" w14:textId="77777777" w:rsidR="0085140E" w:rsidRPr="00FB7CC4" w:rsidRDefault="0085140E" w:rsidP="00B002A0">
            <w:pPr>
              <w:rPr>
                <w:rFonts w:ascii="Arial" w:hAnsi="Arial" w:cs="Arial"/>
                <w:bCs/>
              </w:rPr>
            </w:pPr>
          </w:p>
        </w:tc>
        <w:tc>
          <w:tcPr>
            <w:tcW w:w="71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Pr>
                <w:rFonts w:ascii="Arial" w:hAnsi="Arial" w:cs="Arial"/>
                <w:bCs/>
              </w:rPr>
              <w:t>II-2</w:t>
            </w:r>
          </w:p>
        </w:tc>
        <w:tc>
          <w:tcPr>
            <w:tcW w:w="326" w:type="pct"/>
            <w:tcBorders>
              <w:top w:val="nil"/>
              <w:bottom w:val="nil"/>
            </w:tcBorders>
          </w:tcPr>
          <w:p w14:paraId="0C3F2B04" w14:textId="77777777" w:rsidR="0085140E" w:rsidRPr="00FB7CC4" w:rsidRDefault="0085140E" w:rsidP="00B002A0">
            <w:pPr>
              <w:jc w:val="center"/>
              <w:rPr>
                <w:rFonts w:ascii="Arial" w:hAnsi="Arial" w:cs="Arial"/>
                <w:bCs/>
              </w:rPr>
            </w:pPr>
            <w:r>
              <w:rPr>
                <w:rFonts w:ascii="Arial" w:hAnsi="Arial" w:cs="Arial"/>
                <w:bCs/>
              </w:rPr>
              <w:t>39</w:t>
            </w:r>
          </w:p>
        </w:tc>
        <w:tc>
          <w:tcPr>
            <w:tcW w:w="566" w:type="pct"/>
            <w:tcBorders>
              <w:top w:val="nil"/>
              <w:bottom w:val="nil"/>
            </w:tcBorders>
          </w:tcPr>
          <w:p w14:paraId="6E61FECF"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FE50C9">
        <w:tc>
          <w:tcPr>
            <w:tcW w:w="471" w:type="pct"/>
            <w:vMerge/>
            <w:tcBorders>
              <w:top w:val="nil"/>
              <w:bottom w:val="nil"/>
            </w:tcBorders>
          </w:tcPr>
          <w:p w14:paraId="6F46AEFD"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Pr>
                <w:rFonts w:ascii="Arial" w:hAnsi="Arial" w:cs="Arial"/>
                <w:bCs/>
              </w:rPr>
              <w:t>II-3</w:t>
            </w:r>
          </w:p>
        </w:tc>
        <w:tc>
          <w:tcPr>
            <w:tcW w:w="326"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Pr>
                <w:rFonts w:ascii="Arial" w:hAnsi="Arial" w:cs="Arial"/>
                <w:bCs/>
              </w:rPr>
              <w:t>36</w:t>
            </w:r>
          </w:p>
        </w:tc>
        <w:tc>
          <w:tcPr>
            <w:tcW w:w="566"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Pr>
                <w:rFonts w:ascii="Arial" w:hAnsi="Arial" w:cs="Arial"/>
                <w:bCs/>
              </w:rPr>
              <w:t>c.632G&gt;A, p.(Arg211Gln)</w:t>
            </w:r>
          </w:p>
        </w:tc>
        <w:tc>
          <w:tcPr>
            <w:tcW w:w="1496"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5167A7B5" w14:textId="77777777" w:rsidTr="00FE50C9">
        <w:tc>
          <w:tcPr>
            <w:tcW w:w="471" w:type="pct"/>
            <w:vMerge/>
            <w:tcBorders>
              <w:top w:val="nil"/>
              <w:bottom w:val="nil"/>
            </w:tcBorders>
          </w:tcPr>
          <w:p w14:paraId="62FCC2B3"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Pr>
                <w:rFonts w:ascii="Arial" w:hAnsi="Arial" w:cs="Arial"/>
                <w:bCs/>
              </w:rPr>
              <w:t>II-4</w:t>
            </w:r>
          </w:p>
        </w:tc>
        <w:tc>
          <w:tcPr>
            <w:tcW w:w="326" w:type="pct"/>
            <w:tcBorders>
              <w:top w:val="nil"/>
              <w:bottom w:val="nil"/>
            </w:tcBorders>
          </w:tcPr>
          <w:p w14:paraId="700CCA74" w14:textId="77777777" w:rsidR="0085140E" w:rsidRPr="00FB7CC4" w:rsidRDefault="0085140E" w:rsidP="00B002A0">
            <w:pPr>
              <w:jc w:val="center"/>
              <w:rPr>
                <w:rFonts w:ascii="Arial" w:hAnsi="Arial" w:cs="Arial"/>
                <w:bCs/>
              </w:rPr>
            </w:pPr>
            <w:r>
              <w:rPr>
                <w:rFonts w:ascii="Arial" w:hAnsi="Arial" w:cs="Arial"/>
                <w:bCs/>
              </w:rPr>
              <w:t>34</w:t>
            </w:r>
          </w:p>
        </w:tc>
        <w:tc>
          <w:tcPr>
            <w:tcW w:w="566" w:type="pct"/>
            <w:tcBorders>
              <w:top w:val="nil"/>
              <w:bottom w:val="nil"/>
            </w:tcBorders>
          </w:tcPr>
          <w:p w14:paraId="35BFB150"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FE50C9">
        <w:tc>
          <w:tcPr>
            <w:tcW w:w="471" w:type="pct"/>
            <w:vMerge/>
            <w:tcBorders>
              <w:top w:val="nil"/>
              <w:bottom w:val="nil"/>
            </w:tcBorders>
          </w:tcPr>
          <w:p w14:paraId="1099A30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Pr>
                <w:rFonts w:ascii="Arial" w:hAnsi="Arial" w:cs="Arial"/>
                <w:bCs/>
              </w:rPr>
              <w:t>II-5</w:t>
            </w:r>
          </w:p>
        </w:tc>
        <w:tc>
          <w:tcPr>
            <w:tcW w:w="326"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Pr>
                <w:rFonts w:ascii="Arial" w:hAnsi="Arial" w:cs="Arial"/>
                <w:bCs/>
              </w:rPr>
              <w:t>31</w:t>
            </w:r>
          </w:p>
        </w:tc>
        <w:tc>
          <w:tcPr>
            <w:tcW w:w="566"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Pr>
                <w:rFonts w:ascii="Arial" w:hAnsi="Arial" w:cs="Arial"/>
                <w:bCs/>
              </w:rPr>
              <w:t>c.632G&gt;A, p.(Arg211Gln)</w:t>
            </w:r>
          </w:p>
        </w:tc>
        <w:tc>
          <w:tcPr>
            <w:tcW w:w="1496"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3D828280" w14:textId="77777777" w:rsidTr="00FE50C9">
        <w:tc>
          <w:tcPr>
            <w:tcW w:w="471" w:type="pct"/>
            <w:vMerge/>
            <w:tcBorders>
              <w:top w:val="nil"/>
              <w:bottom w:val="nil"/>
            </w:tcBorders>
          </w:tcPr>
          <w:p w14:paraId="1C0C667E" w14:textId="77777777" w:rsidR="0085140E" w:rsidRPr="00FB7CC4" w:rsidRDefault="0085140E" w:rsidP="00B002A0">
            <w:pPr>
              <w:rPr>
                <w:rFonts w:ascii="Arial" w:hAnsi="Arial" w:cs="Arial"/>
                <w:bCs/>
              </w:rPr>
            </w:pPr>
          </w:p>
        </w:tc>
        <w:tc>
          <w:tcPr>
            <w:tcW w:w="71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Pr>
                <w:rFonts w:ascii="Arial" w:hAnsi="Arial" w:cs="Arial"/>
                <w:bCs/>
              </w:rPr>
              <w:t>II-6</w:t>
            </w:r>
          </w:p>
        </w:tc>
        <w:tc>
          <w:tcPr>
            <w:tcW w:w="326" w:type="pct"/>
            <w:tcBorders>
              <w:top w:val="nil"/>
              <w:bottom w:val="nil"/>
            </w:tcBorders>
          </w:tcPr>
          <w:p w14:paraId="6E5E2CE9" w14:textId="77777777" w:rsidR="0085140E" w:rsidRPr="00FB7CC4" w:rsidRDefault="0085140E" w:rsidP="00B002A0">
            <w:pPr>
              <w:jc w:val="center"/>
              <w:rPr>
                <w:rFonts w:ascii="Arial" w:hAnsi="Arial" w:cs="Arial"/>
                <w:bCs/>
              </w:rPr>
            </w:pPr>
            <w:r>
              <w:rPr>
                <w:rFonts w:ascii="Arial" w:hAnsi="Arial" w:cs="Arial"/>
                <w:bCs/>
              </w:rPr>
              <w:t>28</w:t>
            </w:r>
          </w:p>
        </w:tc>
        <w:tc>
          <w:tcPr>
            <w:tcW w:w="566" w:type="pct"/>
            <w:tcBorders>
              <w:top w:val="nil"/>
              <w:bottom w:val="nil"/>
            </w:tcBorders>
          </w:tcPr>
          <w:p w14:paraId="2DEDC80E"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6E80130"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40D3CF79" w14:textId="77777777" w:rsidTr="00FE50C9">
        <w:tc>
          <w:tcPr>
            <w:tcW w:w="471" w:type="pct"/>
            <w:vMerge/>
            <w:tcBorders>
              <w:top w:val="nil"/>
              <w:bottom w:val="nil"/>
            </w:tcBorders>
          </w:tcPr>
          <w:p w14:paraId="52D5504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Pr>
                <w:rFonts w:ascii="Arial" w:hAnsi="Arial" w:cs="Arial"/>
                <w:bCs/>
              </w:rPr>
              <w:t>II-7</w:t>
            </w:r>
          </w:p>
        </w:tc>
        <w:tc>
          <w:tcPr>
            <w:tcW w:w="326"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Pr>
                <w:rFonts w:ascii="Arial" w:hAnsi="Arial" w:cs="Arial"/>
                <w:bCs/>
              </w:rPr>
              <w:t>24</w:t>
            </w:r>
          </w:p>
        </w:tc>
        <w:tc>
          <w:tcPr>
            <w:tcW w:w="566"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FE50C9">
        <w:tc>
          <w:tcPr>
            <w:tcW w:w="471" w:type="pct"/>
            <w:vMerge/>
            <w:tcBorders>
              <w:top w:val="nil"/>
              <w:bottom w:val="nil"/>
            </w:tcBorders>
          </w:tcPr>
          <w:p w14:paraId="18CB1B5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Pr>
                <w:rFonts w:ascii="Arial" w:hAnsi="Arial" w:cs="Arial"/>
                <w:bCs/>
              </w:rPr>
              <w:t>III-1</w:t>
            </w:r>
          </w:p>
        </w:tc>
        <w:tc>
          <w:tcPr>
            <w:tcW w:w="326"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6" w:type="pct"/>
            <w:tcBorders>
              <w:top w:val="nil"/>
              <w:bottom w:val="nil"/>
            </w:tcBorders>
          </w:tcPr>
          <w:p w14:paraId="575710DD"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tcPr>
          <w:p w14:paraId="422EDB4E" w14:textId="77777777" w:rsidR="0085140E" w:rsidRPr="00FB7CC4" w:rsidRDefault="0085140E" w:rsidP="00B002A0">
            <w:pPr>
              <w:ind w:firstLine="165"/>
              <w:rPr>
                <w:rFonts w:ascii="Arial" w:hAnsi="Arial" w:cs="Arial"/>
                <w:bCs/>
              </w:rPr>
            </w:pPr>
            <w:r>
              <w:rPr>
                <w:rFonts w:ascii="Arial" w:hAnsi="Arial" w:cs="Arial"/>
                <w:bCs/>
              </w:rPr>
              <w:t>c.632G&gt;A, p.(Arg211Gln)</w:t>
            </w:r>
          </w:p>
        </w:tc>
        <w:tc>
          <w:tcPr>
            <w:tcW w:w="1496"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FE50C9">
        <w:tc>
          <w:tcPr>
            <w:tcW w:w="471" w:type="pct"/>
            <w:vMerge/>
            <w:tcBorders>
              <w:top w:val="nil"/>
              <w:bottom w:val="nil"/>
            </w:tcBorders>
          </w:tcPr>
          <w:p w14:paraId="6C205822"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Pr>
                <w:rFonts w:ascii="Arial" w:hAnsi="Arial" w:cs="Arial"/>
                <w:bCs/>
              </w:rPr>
              <w:t>III-3</w:t>
            </w:r>
          </w:p>
        </w:tc>
        <w:tc>
          <w:tcPr>
            <w:tcW w:w="326"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Pr>
                <w:rFonts w:ascii="Arial" w:hAnsi="Arial" w:cs="Arial"/>
                <w:bCs/>
              </w:rPr>
              <w:t>20</w:t>
            </w:r>
          </w:p>
        </w:tc>
        <w:tc>
          <w:tcPr>
            <w:tcW w:w="566"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FE50C9">
        <w:tc>
          <w:tcPr>
            <w:tcW w:w="471"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71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Pr>
                <w:rFonts w:ascii="Arial" w:hAnsi="Arial" w:cs="Arial"/>
                <w:bCs/>
              </w:rPr>
              <w:t>III-4</w:t>
            </w:r>
          </w:p>
        </w:tc>
        <w:tc>
          <w:tcPr>
            <w:tcW w:w="326"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Pr>
                <w:rFonts w:ascii="Arial" w:hAnsi="Arial" w:cs="Arial"/>
                <w:bCs/>
              </w:rPr>
              <w:t>12</w:t>
            </w:r>
          </w:p>
        </w:tc>
        <w:tc>
          <w:tcPr>
            <w:tcW w:w="566"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FE50C9">
        <w:tc>
          <w:tcPr>
            <w:tcW w:w="471"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71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Pr>
                <w:rFonts w:ascii="Arial" w:hAnsi="Arial" w:cs="Arial"/>
                <w:bCs/>
              </w:rPr>
              <w:t>► II-1</w:t>
            </w:r>
          </w:p>
        </w:tc>
        <w:tc>
          <w:tcPr>
            <w:tcW w:w="326"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Pr>
                <w:rFonts w:ascii="Arial" w:hAnsi="Arial" w:cs="Arial"/>
                <w:bCs/>
              </w:rPr>
              <w:t>54</w:t>
            </w:r>
          </w:p>
        </w:tc>
        <w:tc>
          <w:tcPr>
            <w:tcW w:w="566"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285672F9" w14:textId="77777777" w:rsidTr="00FE50C9">
        <w:tc>
          <w:tcPr>
            <w:tcW w:w="471"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Pr>
                <w:rFonts w:ascii="Arial" w:hAnsi="Arial" w:cs="Arial"/>
                <w:bCs/>
              </w:rPr>
              <w:t>II-2</w:t>
            </w:r>
          </w:p>
        </w:tc>
        <w:tc>
          <w:tcPr>
            <w:tcW w:w="326"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Pr>
                <w:rFonts w:ascii="Arial" w:hAnsi="Arial" w:cs="Arial"/>
                <w:bCs/>
              </w:rPr>
              <w:t>42</w:t>
            </w:r>
          </w:p>
        </w:tc>
        <w:tc>
          <w:tcPr>
            <w:tcW w:w="566"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51D87E07" w14:textId="77777777" w:rsidTr="00FE50C9">
        <w:tc>
          <w:tcPr>
            <w:tcW w:w="471"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711" w:type="pct"/>
            <w:tcBorders>
              <w:top w:val="single" w:sz="12" w:space="0" w:color="auto"/>
              <w:bottom w:val="nil"/>
            </w:tcBorders>
            <w:shd w:val="pct10" w:color="auto" w:fill="auto"/>
          </w:tcPr>
          <w:p w14:paraId="7A2C9E10" w14:textId="113055D2" w:rsidR="0085140E" w:rsidRPr="00FB7CC4" w:rsidRDefault="0085140E" w:rsidP="00B002A0">
            <w:pPr>
              <w:ind w:right="256"/>
              <w:jc w:val="right"/>
              <w:rPr>
                <w:rFonts w:ascii="Arial" w:hAnsi="Arial" w:cs="Arial"/>
                <w:bCs/>
              </w:rPr>
            </w:pPr>
            <w:r>
              <w:rPr>
                <w:rFonts w:ascii="Arial" w:hAnsi="Arial" w:cs="Arial"/>
                <w:bCs/>
              </w:rPr>
              <w:t>►</w:t>
            </w:r>
            <w:r w:rsidR="00FE50C9" w:rsidRPr="00FE50C9">
              <w:rPr>
                <w:rFonts w:ascii="Arial" w:hAnsi="Arial" w:cs="Arial"/>
                <w:bCs/>
              </w:rPr>
              <w:t xml:space="preserve"> </w:t>
            </w:r>
            <w:r>
              <w:rPr>
                <w:rFonts w:ascii="Arial" w:hAnsi="Arial" w:cs="Arial"/>
                <w:bCs/>
              </w:rPr>
              <w:t>I-1</w:t>
            </w:r>
          </w:p>
        </w:tc>
        <w:tc>
          <w:tcPr>
            <w:tcW w:w="326"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Pr>
                <w:rFonts w:ascii="Arial" w:hAnsi="Arial" w:cs="Arial"/>
                <w:bCs/>
              </w:rPr>
              <w:t>62</w:t>
            </w:r>
          </w:p>
        </w:tc>
        <w:tc>
          <w:tcPr>
            <w:tcW w:w="566"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Pr>
                <w:rFonts w:ascii="Arial" w:hAnsi="Arial" w:cs="Arial"/>
                <w:bCs/>
              </w:rPr>
              <w:t>c.632G&gt;A, p.(Arg211Gln)</w:t>
            </w:r>
          </w:p>
        </w:tc>
        <w:tc>
          <w:tcPr>
            <w:tcW w:w="1496"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309B1732" w14:textId="77777777" w:rsidTr="00FE50C9">
        <w:tc>
          <w:tcPr>
            <w:tcW w:w="471"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Pr>
                <w:rFonts w:ascii="Arial" w:hAnsi="Arial" w:cs="Arial"/>
                <w:bCs/>
              </w:rPr>
              <w:t>II-1</w:t>
            </w:r>
          </w:p>
        </w:tc>
        <w:tc>
          <w:tcPr>
            <w:tcW w:w="326"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Pr>
                <w:rFonts w:ascii="Arial" w:hAnsi="Arial" w:cs="Arial"/>
                <w:bCs/>
              </w:rPr>
              <w:t>29</w:t>
            </w:r>
          </w:p>
        </w:tc>
        <w:tc>
          <w:tcPr>
            <w:tcW w:w="566"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Pr>
                <w:rFonts w:ascii="Arial" w:hAnsi="Arial" w:cs="Arial"/>
                <w:bCs/>
              </w:rPr>
              <w:t>c.632G&gt;A, p.(Arg211Gln)</w:t>
            </w:r>
          </w:p>
        </w:tc>
        <w:tc>
          <w:tcPr>
            <w:tcW w:w="1496"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FE50C9">
        <w:tc>
          <w:tcPr>
            <w:tcW w:w="471"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711" w:type="pct"/>
            <w:tcBorders>
              <w:top w:val="single" w:sz="12" w:space="0" w:color="auto"/>
              <w:bottom w:val="nil"/>
            </w:tcBorders>
            <w:shd w:val="pct10" w:color="auto" w:fill="auto"/>
            <w:vAlign w:val="center"/>
          </w:tcPr>
          <w:p w14:paraId="458F4995" w14:textId="241D0C6B" w:rsidR="0085140E" w:rsidRPr="00FB7CC4" w:rsidRDefault="0085140E" w:rsidP="00B002A0">
            <w:pPr>
              <w:ind w:right="256"/>
              <w:jc w:val="right"/>
              <w:rPr>
                <w:rFonts w:ascii="Arial" w:hAnsi="Arial" w:cs="Arial"/>
                <w:bCs/>
              </w:rPr>
            </w:pPr>
            <w:r>
              <w:rPr>
                <w:rFonts w:ascii="Arial" w:hAnsi="Arial" w:cs="Arial"/>
                <w:bCs/>
              </w:rPr>
              <w:t>►</w:t>
            </w:r>
            <w:r w:rsidR="00FE50C9" w:rsidRPr="00FE50C9">
              <w:rPr>
                <w:rFonts w:ascii="Arial" w:hAnsi="Arial" w:cs="Arial"/>
                <w:bCs/>
              </w:rPr>
              <w:t xml:space="preserve"> </w:t>
            </w:r>
            <w:r>
              <w:rPr>
                <w:rFonts w:ascii="Arial" w:hAnsi="Arial" w:cs="Arial"/>
                <w:bCs/>
              </w:rPr>
              <w:t>I-1</w:t>
            </w:r>
          </w:p>
        </w:tc>
        <w:tc>
          <w:tcPr>
            <w:tcW w:w="326"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Pr>
                <w:rFonts w:ascii="Arial" w:hAnsi="Arial" w:cs="Arial"/>
                <w:bCs/>
              </w:rPr>
              <w:t>58</w:t>
            </w:r>
          </w:p>
        </w:tc>
        <w:tc>
          <w:tcPr>
            <w:tcW w:w="566"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7C4087CF" w14:textId="77777777" w:rsidTr="00FE50C9">
        <w:tc>
          <w:tcPr>
            <w:tcW w:w="471"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71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Pr>
                <w:rFonts w:ascii="Arial" w:hAnsi="Arial" w:cs="Arial"/>
                <w:bCs/>
              </w:rPr>
              <w:t>II-1</w:t>
            </w:r>
          </w:p>
        </w:tc>
        <w:tc>
          <w:tcPr>
            <w:tcW w:w="326"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Pr>
                <w:rFonts w:ascii="Arial" w:hAnsi="Arial" w:cs="Arial"/>
                <w:bCs/>
              </w:rPr>
              <w:t>25</w:t>
            </w:r>
          </w:p>
        </w:tc>
        <w:tc>
          <w:tcPr>
            <w:tcW w:w="566"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Pr>
                <w:rFonts w:ascii="Arial" w:hAnsi="Arial" w:cs="Arial"/>
                <w:bCs/>
              </w:rPr>
              <w:t>No</w:t>
            </w:r>
          </w:p>
        </w:tc>
        <w:tc>
          <w:tcPr>
            <w:tcW w:w="1431"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66A2E45D" w14:textId="77777777" w:rsidR="00480E93" w:rsidRDefault="0085140E" w:rsidP="00A11272">
      <w:pPr>
        <w:pStyle w:val="TableFootnote"/>
      </w:pPr>
      <w:r>
        <w:rPr>
          <w:rFonts w:ascii="Arial" w:hAnsi="Arial" w:cs="Arial"/>
        </w:rPr>
        <w:t>►</w:t>
      </w:r>
      <w:r>
        <w:t xml:space="preserve"> indicates proband. </w:t>
      </w:r>
      <w:r w:rsidRPr="00FB7CC4">
        <w:rPr>
          <w:vertAlign w:val="superscript"/>
        </w:rPr>
        <w:t>1</w:t>
      </w:r>
      <w:r>
        <w:t>rs201767298, no</w:t>
      </w:r>
      <w:commentRangeStart w:id="39"/>
      <w:r>
        <w:t xml:space="preserve"> MAF</w:t>
      </w:r>
      <w:commentRangeEnd w:id="39"/>
      <w:r w:rsidR="00480E93">
        <w:rPr>
          <w:rStyle w:val="CommentReference"/>
          <w:rFonts w:ascii="Calibri" w:eastAsia="SimSun" w:hAnsi="Calibri"/>
        </w:rPr>
        <w:commentReference w:id="39"/>
      </w:r>
    </w:p>
    <w:p w14:paraId="263437A1" w14:textId="77777777" w:rsidR="00480E93" w:rsidRDefault="0085140E" w:rsidP="00A11272">
      <w:pPr>
        <w:pStyle w:val="TableFootnote"/>
      </w:pPr>
      <w:bookmarkStart w:id="40" w:name="tb1fn1"/>
      <w:r w:rsidRPr="00480E93">
        <w:rPr>
          <w:rStyle w:val="Label"/>
          <w:vertAlign w:val="superscript"/>
        </w:rPr>
        <w:t>2</w:t>
      </w:r>
      <w:bookmarkEnd w:id="40"/>
      <w:r>
        <w:t>rs1009794816, MAF: 0.000064 (GnomAD), 0.000088 (TOPMED)</w:t>
      </w:r>
    </w:p>
    <w:p w14:paraId="7BE53364" w14:textId="77777777" w:rsidR="00480E93" w:rsidRDefault="0085140E" w:rsidP="00A11272">
      <w:pPr>
        <w:pStyle w:val="TableFootnote"/>
      </w:pPr>
      <w:bookmarkStart w:id="41" w:name="tb1fn2"/>
      <w:r w:rsidRPr="00480E93">
        <w:rPr>
          <w:rStyle w:val="Label"/>
          <w:vertAlign w:val="superscript"/>
        </w:rPr>
        <w:t>3</w:t>
      </w:r>
      <w:bookmarkEnd w:id="41"/>
      <w:r>
        <w:t xml:space="preserve">rs72547539, MAF: 0.000064 (GnomAD), 0.000009 (ExAC), 0.00004 (TOPMED), 0.0002 (1000Genome), previously reported to be associated with MCD </w:t>
      </w:r>
      <w:r>
        <w:rPr>
          <w:noProof/>
          <w:vertAlign w:val="superscript"/>
        </w:rPr>
        <w:t>16</w:t>
      </w:r>
    </w:p>
    <w:p w14:paraId="07AF675E" w14:textId="77777777" w:rsidR="00480E93" w:rsidRDefault="0085140E" w:rsidP="00A11272">
      <w:pPr>
        <w:pStyle w:val="TableFootnote"/>
      </w:pPr>
      <w:bookmarkStart w:id="42" w:name="tb1fn3"/>
      <w:r w:rsidRPr="00480E93">
        <w:rPr>
          <w:rStyle w:val="Label"/>
          <w:vertAlign w:val="superscript"/>
        </w:rPr>
        <w:t>4</w:t>
      </w:r>
      <w:bookmarkEnd w:id="42"/>
      <w:r>
        <w:t xml:space="preserve">rs771397083, MAF: 0.000004 (GnomAD), 0 (ExAC), previously reported to be associated with MCD </w:t>
      </w:r>
      <w:r>
        <w:rPr>
          <w:noProof/>
          <w:vertAlign w:val="superscript"/>
        </w:rPr>
        <w:t>17</w:t>
      </w:r>
    </w:p>
    <w:p w14:paraId="7E733021" w14:textId="24951E12" w:rsidR="00FE50C9" w:rsidRPr="00A11272" w:rsidRDefault="0085140E" w:rsidP="00A11272">
      <w:pPr>
        <w:pStyle w:val="TableFootnote"/>
      </w:pPr>
      <w:bookmarkStart w:id="43" w:name="tb1fn4"/>
      <w:r w:rsidRPr="00480E93">
        <w:rPr>
          <w:rStyle w:val="Label"/>
          <w:vertAlign w:val="superscript"/>
        </w:rPr>
        <w:t>5</w:t>
      </w:r>
      <w:bookmarkEnd w:id="43"/>
      <w:r>
        <w:t xml:space="preserve">All screened individuals with a c.-690G&gt;C mutation also carry two adjacent common variants </w:t>
      </w:r>
      <w:r>
        <w:rPr>
          <w:i/>
          <w:iCs/>
        </w:rPr>
        <w:t>in cis</w:t>
      </w:r>
      <w:r>
        <w:t>: c.-668C&gt;T (rs2550323, TOPMED MAF 0.034) and c.-792C&gt;T (rs2550322, TOPMED MAF 0.114)</w:t>
      </w:r>
    </w:p>
    <w:p w14:paraId="4B2D9D1D" w14:textId="73D82121" w:rsidR="0085140E" w:rsidRPr="00E65DB5" w:rsidRDefault="0085140E" w:rsidP="00754048">
      <w:pPr>
        <w:pStyle w:val="TableCaption"/>
      </w:pPr>
      <w:bookmarkStart w:id="44" w:name="tb2"/>
      <w:r>
        <w:rPr>
          <w:rStyle w:val="Label"/>
          <w:color w:val="0000FF"/>
        </w:rPr>
        <w:t>Table 2.</w:t>
      </w:r>
      <w:bookmarkEnd w:id="44"/>
      <w:r>
        <w:t xml:space="preserve"> In silico analysis of identified CHST6 mutations</w:t>
      </w:r>
      <w:r w:rsidR="00A11272" w:rsidRPr="00E65DB5">
        <w:t>.</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73"/>
        <w:gridCol w:w="1368"/>
        <w:gridCol w:w="663"/>
        <w:gridCol w:w="810"/>
        <w:gridCol w:w="1703"/>
        <w:gridCol w:w="236"/>
        <w:gridCol w:w="1243"/>
        <w:gridCol w:w="730"/>
        <w:gridCol w:w="1947"/>
        <w:gridCol w:w="730"/>
      </w:tblGrid>
      <w:tr w:rsidR="0085140E" w:rsidRPr="00FB7CC4" w14:paraId="604EA74F" w14:textId="77777777" w:rsidTr="00643AEB">
        <w:trPr>
          <w:jc w:val="center"/>
        </w:trPr>
        <w:tc>
          <w:tcPr>
            <w:tcW w:w="637" w:type="pct"/>
            <w:vMerge w:val="restart"/>
            <w:tcBorders>
              <w:top w:val="single" w:sz="12" w:space="0" w:color="auto"/>
              <w:bottom w:val="nil"/>
            </w:tcBorders>
            <w:shd w:val="clear" w:color="auto" w:fill="D9D9D9"/>
            <w:vAlign w:val="center"/>
          </w:tcPr>
          <w:p w14:paraId="2FF14471" w14:textId="77777777" w:rsidR="0085140E" w:rsidRPr="00FB7CC4" w:rsidRDefault="0085140E" w:rsidP="00B002A0">
            <w:pPr>
              <w:jc w:val="center"/>
              <w:rPr>
                <w:rFonts w:ascii="Arial" w:hAnsi="Arial" w:cs="Arial"/>
                <w:b/>
              </w:rPr>
            </w:pPr>
            <w:r>
              <w:rPr>
                <w:rFonts w:ascii="Arial" w:hAnsi="Arial" w:cs="Arial"/>
                <w:b/>
              </w:rPr>
              <w:t>Mutation</w:t>
            </w:r>
          </w:p>
        </w:tc>
        <w:tc>
          <w:tcPr>
            <w:tcW w:w="634" w:type="pct"/>
            <w:vMerge w:val="restart"/>
            <w:tcBorders>
              <w:top w:val="single" w:sz="12" w:space="0" w:color="auto"/>
              <w:bottom w:val="nil"/>
            </w:tcBorders>
            <w:shd w:val="clear" w:color="auto" w:fill="D9D9D9"/>
            <w:vAlign w:val="center"/>
          </w:tcPr>
          <w:p w14:paraId="55DB73E6" w14:textId="77777777" w:rsidR="0085140E" w:rsidRPr="00FB7CC4" w:rsidRDefault="0085140E" w:rsidP="00B002A0">
            <w:pPr>
              <w:jc w:val="center"/>
              <w:rPr>
                <w:rFonts w:ascii="Arial" w:hAnsi="Arial" w:cs="Arial"/>
                <w:b/>
              </w:rPr>
            </w:pPr>
            <w:r>
              <w:rPr>
                <w:rFonts w:ascii="Arial" w:hAnsi="Arial" w:cs="Arial"/>
                <w:b/>
              </w:rPr>
              <w:t>dbSNP IDS</w:t>
            </w:r>
          </w:p>
        </w:tc>
        <w:tc>
          <w:tcPr>
            <w:tcW w:w="1473" w:type="pct"/>
            <w:gridSpan w:val="3"/>
            <w:tcBorders>
              <w:top w:val="single" w:sz="12" w:space="0" w:color="auto"/>
              <w:bottom w:val="single" w:sz="8" w:space="0" w:color="auto"/>
            </w:tcBorders>
            <w:shd w:val="clear" w:color="auto" w:fill="D9D9D9"/>
            <w:vAlign w:val="center"/>
          </w:tcPr>
          <w:p w14:paraId="5EFA1804" w14:textId="1652990B" w:rsidR="0085140E" w:rsidRPr="00480E93" w:rsidRDefault="0085140E" w:rsidP="00B002A0">
            <w:pPr>
              <w:jc w:val="center"/>
            </w:pPr>
            <w:r>
              <w:rPr>
                <w:rFonts w:ascii="Arial" w:hAnsi="Arial" w:cs="Arial"/>
                <w:b/>
              </w:rPr>
              <w:t xml:space="preserve">RegulomeDB </w:t>
            </w:r>
            <w:hyperlink w:anchor="bib1" w:history="1">
              <w:r w:rsidRPr="00480E93">
                <w:rPr>
                  <w:rStyle w:val="Hyperlink"/>
                  <w:rFonts w:ascii="Arial" w:hAnsi="Arial" w:cs="Arial"/>
                  <w:vertAlign w:val="superscript"/>
                </w:rPr>
                <w:t>1</w:t>
              </w:r>
            </w:hyperlink>
          </w:p>
        </w:tc>
        <w:tc>
          <w:tcPr>
            <w:tcW w:w="100" w:type="pct"/>
            <w:tcBorders>
              <w:top w:val="single" w:sz="12" w:space="0" w:color="auto"/>
              <w:bottom w:val="nil"/>
            </w:tcBorders>
            <w:shd w:val="clear" w:color="auto" w:fill="D9D9D9"/>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shd w:val="clear" w:color="auto" w:fill="D9D9D9"/>
            <w:vAlign w:val="center"/>
          </w:tcPr>
          <w:p w14:paraId="112F33B9" w14:textId="2F1A2844" w:rsidR="0085140E" w:rsidRPr="00480E93" w:rsidRDefault="0085140E" w:rsidP="00B002A0">
            <w:pPr>
              <w:jc w:val="center"/>
            </w:pPr>
            <w:r>
              <w:rPr>
                <w:rFonts w:ascii="Arial" w:hAnsi="Arial" w:cs="Arial"/>
                <w:b/>
              </w:rPr>
              <w:t xml:space="preserve">PredictSNP2 </w:t>
            </w:r>
            <w:hyperlink w:anchor="bib2" w:history="1">
              <w:r w:rsidRPr="00480E93">
                <w:rPr>
                  <w:rStyle w:val="Hyperlink"/>
                  <w:rFonts w:ascii="Arial" w:hAnsi="Arial" w:cs="Arial"/>
                  <w:bCs/>
                  <w:vertAlign w:val="superscript"/>
                </w:rPr>
                <w:t>2</w:t>
              </w:r>
            </w:hyperlink>
          </w:p>
        </w:tc>
        <w:tc>
          <w:tcPr>
            <w:tcW w:w="1241" w:type="pct"/>
            <w:gridSpan w:val="2"/>
            <w:tcBorders>
              <w:top w:val="single" w:sz="12" w:space="0" w:color="auto"/>
              <w:bottom w:val="single" w:sz="8" w:space="0" w:color="auto"/>
            </w:tcBorders>
            <w:shd w:val="clear" w:color="auto" w:fill="D9D9D9"/>
            <w:vAlign w:val="center"/>
          </w:tcPr>
          <w:p w14:paraId="5AE00C8F" w14:textId="372A143C" w:rsidR="0085140E" w:rsidRPr="00480E93" w:rsidRDefault="0085140E" w:rsidP="00B002A0">
            <w:pPr>
              <w:jc w:val="center"/>
            </w:pPr>
            <w:r>
              <w:rPr>
                <w:rFonts w:ascii="Arial" w:hAnsi="Arial" w:cs="Arial"/>
                <w:b/>
              </w:rPr>
              <w:t xml:space="preserve">PolyPhen-2 </w:t>
            </w:r>
            <w:hyperlink w:anchor="bib3" w:history="1">
              <w:r w:rsidRPr="00480E93">
                <w:rPr>
                  <w:rStyle w:val="Hyperlink"/>
                  <w:rFonts w:ascii="Arial" w:hAnsi="Arial" w:cs="Arial"/>
                  <w:bCs/>
                  <w:vertAlign w:val="superscript"/>
                </w:rPr>
                <w:t>3</w:t>
              </w:r>
            </w:hyperlink>
          </w:p>
        </w:tc>
      </w:tr>
      <w:tr w:rsidR="0085140E" w:rsidRPr="00FB7CC4" w14:paraId="41E58B75" w14:textId="77777777" w:rsidTr="00643AEB">
        <w:trPr>
          <w:jc w:val="center"/>
        </w:trPr>
        <w:tc>
          <w:tcPr>
            <w:tcW w:w="637" w:type="pct"/>
            <w:vMerge/>
            <w:tcBorders>
              <w:top w:val="nil"/>
              <w:bottom w:val="single" w:sz="12" w:space="0" w:color="auto"/>
            </w:tcBorders>
            <w:shd w:val="clear" w:color="auto" w:fill="D9D9D9"/>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shd w:val="clear" w:color="auto" w:fill="D9D9D9"/>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shd w:val="clear" w:color="auto" w:fill="D9D9D9"/>
            <w:vAlign w:val="center"/>
          </w:tcPr>
          <w:p w14:paraId="3A2CF813" w14:textId="77777777" w:rsidR="0085140E" w:rsidRPr="00FB7CC4" w:rsidRDefault="0085140E" w:rsidP="00B002A0">
            <w:pPr>
              <w:jc w:val="center"/>
              <w:rPr>
                <w:rFonts w:ascii="Arial" w:hAnsi="Arial" w:cs="Arial"/>
                <w:b/>
              </w:rPr>
            </w:pPr>
            <w:r>
              <w:rPr>
                <w:rFonts w:ascii="Arial" w:hAnsi="Arial" w:cs="Arial"/>
                <w:b/>
              </w:rPr>
              <w:t>Rank</w:t>
            </w:r>
          </w:p>
        </w:tc>
        <w:tc>
          <w:tcPr>
            <w:tcW w:w="376" w:type="pct"/>
            <w:tcBorders>
              <w:top w:val="single" w:sz="8" w:space="0" w:color="auto"/>
              <w:bottom w:val="single" w:sz="12" w:space="0" w:color="auto"/>
            </w:tcBorders>
            <w:shd w:val="clear" w:color="auto" w:fill="D9D9D9"/>
            <w:vAlign w:val="center"/>
          </w:tcPr>
          <w:p w14:paraId="6A35D6F4" w14:textId="77777777" w:rsidR="0085140E" w:rsidRPr="00FB7CC4" w:rsidRDefault="0085140E" w:rsidP="00B002A0">
            <w:pPr>
              <w:jc w:val="center"/>
              <w:rPr>
                <w:rFonts w:ascii="Arial" w:hAnsi="Arial" w:cs="Arial"/>
                <w:b/>
              </w:rPr>
            </w:pPr>
            <w:r>
              <w:rPr>
                <w:rFonts w:ascii="Arial" w:hAnsi="Arial" w:cs="Arial"/>
                <w:b/>
              </w:rPr>
              <w:t>Score</w:t>
            </w:r>
          </w:p>
        </w:tc>
        <w:tc>
          <w:tcPr>
            <w:tcW w:w="789" w:type="pct"/>
            <w:tcBorders>
              <w:top w:val="single" w:sz="8" w:space="0" w:color="auto"/>
              <w:bottom w:val="single" w:sz="12" w:space="0" w:color="auto"/>
            </w:tcBorders>
            <w:shd w:val="clear" w:color="auto" w:fill="D9D9D9"/>
          </w:tcPr>
          <w:p w14:paraId="2E84379E" w14:textId="53B70FFF" w:rsidR="0085140E" w:rsidRPr="00480E93" w:rsidRDefault="0085140E" w:rsidP="00B002A0">
            <w:pPr>
              <w:jc w:val="center"/>
            </w:pPr>
            <w:r>
              <w:rPr>
                <w:rFonts w:ascii="Arial" w:hAnsi="Arial" w:cs="Arial"/>
                <w:b/>
              </w:rPr>
              <w:t xml:space="preserve">ChIP Data </w:t>
            </w:r>
            <w:hyperlink w:anchor="bib4" w:history="1">
              <w:r w:rsidRPr="00480E93">
                <w:rPr>
                  <w:rStyle w:val="Hyperlink"/>
                  <w:rFonts w:ascii="Arial" w:hAnsi="Arial" w:cs="Arial"/>
                  <w:bCs/>
                  <w:vertAlign w:val="superscript"/>
                </w:rPr>
                <w:t>4</w:t>
              </w:r>
            </w:hyperlink>
          </w:p>
        </w:tc>
        <w:tc>
          <w:tcPr>
            <w:tcW w:w="100" w:type="pct"/>
            <w:tcBorders>
              <w:top w:val="nil"/>
              <w:bottom w:val="single" w:sz="12" w:space="0" w:color="auto"/>
            </w:tcBorders>
            <w:shd w:val="clear" w:color="auto" w:fill="D9D9D9"/>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shd w:val="clear" w:color="auto" w:fill="D9D9D9"/>
            <w:vAlign w:val="center"/>
          </w:tcPr>
          <w:p w14:paraId="0BCFB25E" w14:textId="77777777" w:rsidR="0085140E" w:rsidRPr="00FB7CC4" w:rsidRDefault="0085140E" w:rsidP="00B002A0">
            <w:pPr>
              <w:jc w:val="center"/>
              <w:rPr>
                <w:rFonts w:ascii="Arial" w:hAnsi="Arial" w:cs="Arial"/>
                <w:b/>
              </w:rPr>
            </w:pPr>
            <w:r>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39FA66F6" w14:textId="77777777" w:rsidR="0085140E" w:rsidRPr="00FB7CC4" w:rsidRDefault="0085140E" w:rsidP="00B002A0">
            <w:pPr>
              <w:jc w:val="center"/>
              <w:rPr>
                <w:rFonts w:ascii="Arial" w:hAnsi="Arial" w:cs="Arial"/>
                <w:b/>
              </w:rPr>
            </w:pPr>
            <w:r>
              <w:rPr>
                <w:rFonts w:ascii="Arial" w:hAnsi="Arial" w:cs="Arial"/>
                <w:b/>
              </w:rPr>
              <w:t>Score</w:t>
            </w:r>
          </w:p>
        </w:tc>
        <w:tc>
          <w:tcPr>
            <w:tcW w:w="902" w:type="pct"/>
            <w:tcBorders>
              <w:top w:val="single" w:sz="8" w:space="0" w:color="auto"/>
              <w:bottom w:val="single" w:sz="12" w:space="0" w:color="auto"/>
            </w:tcBorders>
            <w:shd w:val="clear" w:color="auto" w:fill="D9D9D9"/>
            <w:vAlign w:val="center"/>
          </w:tcPr>
          <w:p w14:paraId="564CC8A7" w14:textId="77777777" w:rsidR="0085140E" w:rsidRPr="00FB7CC4" w:rsidRDefault="0085140E" w:rsidP="00B002A0">
            <w:pPr>
              <w:jc w:val="center"/>
              <w:rPr>
                <w:rFonts w:ascii="Arial" w:hAnsi="Arial" w:cs="Arial"/>
                <w:b/>
              </w:rPr>
            </w:pPr>
            <w:r>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5ABA8DFA" w14:textId="77777777" w:rsidR="0085140E" w:rsidRPr="00FB7CC4" w:rsidRDefault="0085140E" w:rsidP="00B002A0">
            <w:pPr>
              <w:jc w:val="center"/>
              <w:rPr>
                <w:rFonts w:ascii="Arial" w:hAnsi="Arial" w:cs="Arial"/>
                <w:b/>
              </w:rPr>
            </w:pPr>
            <w:r>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Pr>
                <w:rFonts w:ascii="Arial" w:hAnsi="Arial" w:cs="Arial"/>
              </w:rPr>
              <w:t>rs2550322</w:t>
            </w:r>
          </w:p>
        </w:tc>
        <w:tc>
          <w:tcPr>
            <w:tcW w:w="308" w:type="pct"/>
            <w:tcBorders>
              <w:top w:val="single" w:sz="12" w:space="0" w:color="auto"/>
            </w:tcBorders>
            <w:shd w:val="clear" w:color="auto" w:fill="E7E6E6" w:themeFill="background2"/>
          </w:tcPr>
          <w:p w14:paraId="24A778C5" w14:textId="22093F67" w:rsidR="0085140E" w:rsidRPr="00480E93" w:rsidRDefault="0085140E" w:rsidP="00B002A0">
            <w:pPr>
              <w:widowControl w:val="0"/>
              <w:adjustRightInd w:val="0"/>
              <w:ind w:left="144"/>
            </w:pPr>
            <w:r>
              <w:rPr>
                <w:rFonts w:ascii="Arial" w:hAnsi="Arial" w:cs="Arial"/>
              </w:rPr>
              <w:t xml:space="preserve">4 </w:t>
            </w:r>
            <w:hyperlink w:anchor="bib5" w:history="1">
              <w:r w:rsidRPr="00480E93">
                <w:rPr>
                  <w:rStyle w:val="Hyperlink"/>
                  <w:rFonts w:ascii="Arial" w:hAnsi="Arial" w:cs="Arial"/>
                  <w:vertAlign w:val="superscript"/>
                </w:rPr>
                <w:t>5</w:t>
              </w:r>
            </w:hyperlink>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Pr>
                <w:rFonts w:ascii="Arial" w:hAnsi="Arial" w:cs="Arial"/>
              </w:rPr>
              <w:t>0.6091</w:t>
            </w:r>
          </w:p>
        </w:tc>
        <w:tc>
          <w:tcPr>
            <w:tcW w:w="789" w:type="pct"/>
            <w:tcBorders>
              <w:top w:val="single" w:sz="12" w:space="0" w:color="auto"/>
            </w:tcBorders>
            <w:shd w:val="clear" w:color="auto" w:fill="E7E6E6" w:themeFill="background2"/>
          </w:tcPr>
          <w:p w14:paraId="3368C838" w14:textId="2164C95C" w:rsidR="0085140E" w:rsidRPr="00FB7CC4" w:rsidRDefault="0085140E" w:rsidP="00B002A0">
            <w:pPr>
              <w:jc w:val="center"/>
              <w:rPr>
                <w:rFonts w:ascii="Arial" w:hAnsi="Arial" w:cs="Arial"/>
              </w:rPr>
            </w:pPr>
            <w:r>
              <w:rPr>
                <w:rFonts w:ascii="Arial" w:hAnsi="Arial" w:cs="Arial"/>
              </w:rPr>
              <w:t xml:space="preserve">EZH2 </w:t>
            </w:r>
            <w:hyperlink w:anchor="bib7" w:history="1">
              <w:r w:rsidRPr="00480E93">
                <w:rPr>
                  <w:rStyle w:val="Hyperlink"/>
                  <w:rFonts w:ascii="Arial" w:hAnsi="Arial" w:cs="Arial"/>
                  <w:vertAlign w:val="superscript"/>
                </w:rPr>
                <w:t>7</w:t>
              </w:r>
            </w:hyperlink>
            <w:r>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Pr>
                <w:rFonts w:ascii="Arial" w:hAnsi="Arial" w:cs="Arial"/>
                <w:b/>
              </w:rPr>
              <w:t>rs1009794816</w:t>
            </w:r>
          </w:p>
        </w:tc>
        <w:tc>
          <w:tcPr>
            <w:tcW w:w="308" w:type="pct"/>
          </w:tcPr>
          <w:p w14:paraId="3361D692" w14:textId="707DFE7B" w:rsidR="0085140E" w:rsidRPr="00480E93" w:rsidRDefault="0085140E" w:rsidP="00B002A0">
            <w:pPr>
              <w:widowControl w:val="0"/>
              <w:adjustRightInd w:val="0"/>
              <w:ind w:left="144"/>
            </w:pPr>
            <w:r>
              <w:rPr>
                <w:rFonts w:ascii="Arial" w:hAnsi="Arial" w:cs="Arial"/>
                <w:b/>
              </w:rPr>
              <w:t xml:space="preserve">2b </w:t>
            </w:r>
            <w:hyperlink w:anchor="bib6" w:history="1">
              <w:r w:rsidRPr="00480E93">
                <w:rPr>
                  <w:rStyle w:val="Hyperlink"/>
                  <w:rFonts w:ascii="Arial" w:hAnsi="Arial" w:cs="Arial"/>
                  <w:bCs/>
                  <w:vertAlign w:val="superscript"/>
                </w:rPr>
                <w:t>6</w:t>
              </w:r>
            </w:hyperlink>
          </w:p>
        </w:tc>
        <w:tc>
          <w:tcPr>
            <w:tcW w:w="376" w:type="pct"/>
          </w:tcPr>
          <w:p w14:paraId="4B7176A1" w14:textId="77777777" w:rsidR="0085140E" w:rsidRPr="00FB7CC4" w:rsidRDefault="0085140E" w:rsidP="00B002A0">
            <w:pPr>
              <w:jc w:val="center"/>
              <w:rPr>
                <w:rFonts w:ascii="Arial" w:hAnsi="Arial" w:cs="Arial"/>
                <w:b/>
              </w:rPr>
            </w:pPr>
            <w:r>
              <w:rPr>
                <w:rFonts w:ascii="Arial" w:hAnsi="Arial" w:cs="Arial"/>
                <w:b/>
              </w:rPr>
              <w:t>1.0000</w:t>
            </w:r>
          </w:p>
        </w:tc>
        <w:tc>
          <w:tcPr>
            <w:tcW w:w="789" w:type="pct"/>
          </w:tcPr>
          <w:p w14:paraId="5AE0E54A" w14:textId="62531191" w:rsidR="0085140E" w:rsidRPr="00FB7CC4" w:rsidRDefault="0085140E" w:rsidP="00B002A0">
            <w:pPr>
              <w:jc w:val="center"/>
              <w:rPr>
                <w:rFonts w:ascii="Arial" w:hAnsi="Arial" w:cs="Arial"/>
                <w:b/>
              </w:rPr>
            </w:pPr>
            <w:r>
              <w:rPr>
                <w:rFonts w:ascii="Arial" w:hAnsi="Arial" w:cs="Arial"/>
                <w:b/>
              </w:rPr>
              <w:t xml:space="preserve">POLR2A </w:t>
            </w:r>
            <w:hyperlink w:anchor="bib8" w:history="1">
              <w:r w:rsidRPr="00480E93">
                <w:rPr>
                  <w:rStyle w:val="Hyperlink"/>
                  <w:rFonts w:ascii="Arial" w:hAnsi="Arial" w:cs="Arial"/>
                  <w:b/>
                  <w:vertAlign w:val="superscript"/>
                </w:rPr>
                <w:t>8</w:t>
              </w:r>
            </w:hyperlink>
            <w:r>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Pr>
                <w:rFonts w:ascii="Arial" w:hAnsi="Arial" w:cs="Arial"/>
                <w:b/>
                <w:bCs/>
              </w:rPr>
              <w:t>1.0</w:t>
            </w:r>
          </w:p>
        </w:tc>
      </w:tr>
    </w:tbl>
    <w:p w14:paraId="7B1731D6" w14:textId="77777777" w:rsidR="00480E93" w:rsidRDefault="0085140E" w:rsidP="00643AEB">
      <w:pPr>
        <w:pStyle w:val="TableFootnote"/>
      </w:pPr>
      <w:bookmarkStart w:id="45" w:name="tb2fn1"/>
      <w:r w:rsidRPr="00480E93">
        <w:rPr>
          <w:rStyle w:val="Label"/>
          <w:b/>
          <w:vertAlign w:val="superscript"/>
        </w:rPr>
        <w:t>1</w:t>
      </w:r>
      <w:bookmarkEnd w:id="45"/>
      <w:r>
        <w:t>RegulomeDB version 2.0.3 was used. RegulomeDB probability score ranges from 0 to 1, with 1 being most likely to be a regulatory variant</w:t>
      </w:r>
    </w:p>
    <w:p w14:paraId="0AFD0D2A" w14:textId="77777777" w:rsidR="00480E93" w:rsidRDefault="0085140E" w:rsidP="00643AEB">
      <w:pPr>
        <w:pStyle w:val="TableFootnote"/>
      </w:pPr>
      <w:bookmarkStart w:id="46" w:name="tb2fn2"/>
      <w:r w:rsidRPr="00480E93">
        <w:rPr>
          <w:rStyle w:val="Label"/>
          <w:vertAlign w:val="superscript"/>
        </w:rPr>
        <w:t>2</w:t>
      </w:r>
      <w:bookmarkEnd w:id="46"/>
      <w:r>
        <w:t>PredictSNP2 score ranges from 0 to 1, with 1 being the most likely to be deleterious variant</w:t>
      </w:r>
    </w:p>
    <w:p w14:paraId="2F5F5EFC" w14:textId="77777777" w:rsidR="00480E93" w:rsidRDefault="0085140E" w:rsidP="00643AEB">
      <w:pPr>
        <w:pStyle w:val="TableFootnote"/>
        <w:rPr>
          <w:bCs/>
        </w:rPr>
      </w:pPr>
      <w:bookmarkStart w:id="47" w:name="tb2fn3"/>
      <w:r w:rsidRPr="00480E93">
        <w:rPr>
          <w:rStyle w:val="Label"/>
          <w:b/>
          <w:vertAlign w:val="superscript"/>
        </w:rPr>
        <w:t>3</w:t>
      </w:r>
      <w:bookmarkEnd w:id="47"/>
      <w:r>
        <w:rPr>
          <w:bCs/>
        </w:rPr>
        <w:t>PolyPhen-2 score ranges from 0.0 to 1.0. Variants with scores of 0.0 are predicted to be benign. Values closer to 1.0 are more confidently predicted to be deleterious</w:t>
      </w:r>
    </w:p>
    <w:p w14:paraId="2249C11F" w14:textId="77777777" w:rsidR="00480E93" w:rsidRDefault="0085140E" w:rsidP="00643AEB">
      <w:pPr>
        <w:pStyle w:val="TableFootnote"/>
        <w:rPr>
          <w:bCs/>
        </w:rPr>
      </w:pPr>
      <w:bookmarkStart w:id="48" w:name="tb2fn4"/>
      <w:r w:rsidRPr="00480E93">
        <w:rPr>
          <w:rStyle w:val="Label"/>
          <w:b/>
          <w:vertAlign w:val="superscript"/>
        </w:rPr>
        <w:t>4</w:t>
      </w:r>
      <w:bookmarkEnd w:id="48"/>
      <w:r>
        <w:rPr>
          <w:bCs/>
        </w:rPr>
        <w:t>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w:t>
      </w:r>
    </w:p>
    <w:p w14:paraId="333E8856" w14:textId="77777777" w:rsidR="00480E93" w:rsidRDefault="0085140E" w:rsidP="00643AEB">
      <w:pPr>
        <w:pStyle w:val="TableFootnote"/>
        <w:rPr>
          <w:bCs/>
          <w:shd w:val="clear" w:color="auto" w:fill="FFFFFF"/>
        </w:rPr>
      </w:pPr>
      <w:bookmarkStart w:id="49" w:name="tb2fn5"/>
      <w:r w:rsidRPr="00480E93">
        <w:rPr>
          <w:rStyle w:val="Label"/>
          <w:vertAlign w:val="superscript"/>
        </w:rPr>
        <w:t>5</w:t>
      </w:r>
      <w:bookmarkEnd w:id="49"/>
      <w:r>
        <w:rPr>
          <w:bCs/>
        </w:rPr>
        <w:t>RegulomeDB rank 4 represents “</w:t>
      </w:r>
      <w:r>
        <w:rPr>
          <w:bCs/>
          <w:shd w:val="clear" w:color="auto" w:fill="FFFFFF"/>
        </w:rPr>
        <w:t>TF binding + DNase peak” as supporting data for the variant coordinate</w:t>
      </w:r>
    </w:p>
    <w:p w14:paraId="7CAE27F5" w14:textId="77777777" w:rsidR="00480E93" w:rsidRDefault="0085140E" w:rsidP="00643AEB">
      <w:pPr>
        <w:pStyle w:val="TableFootnote"/>
        <w:rPr>
          <w:bCs/>
          <w:shd w:val="clear" w:color="auto" w:fill="FFFFFF"/>
        </w:rPr>
      </w:pPr>
      <w:bookmarkStart w:id="50" w:name="tb2fn6"/>
      <w:r w:rsidRPr="00480E93">
        <w:rPr>
          <w:rStyle w:val="Label"/>
          <w:vertAlign w:val="superscript"/>
        </w:rPr>
        <w:t>6</w:t>
      </w:r>
      <w:bookmarkEnd w:id="50"/>
      <w:r>
        <w:rPr>
          <w:bCs/>
          <w:shd w:val="clear" w:color="auto" w:fill="FFFFFF"/>
        </w:rPr>
        <w:t>RegulomeDB rank 2b represents “TF binding + any motif + DNase Footprint + DNase peak” as supporting data for the variant coordinate</w:t>
      </w:r>
    </w:p>
    <w:p w14:paraId="7627417E" w14:textId="77777777" w:rsidR="00480E93" w:rsidRDefault="0085140E" w:rsidP="00643AEB">
      <w:pPr>
        <w:pStyle w:val="TableFootnote"/>
        <w:rPr>
          <w:bCs/>
        </w:rPr>
      </w:pPr>
      <w:bookmarkStart w:id="51" w:name="tb2fn7"/>
      <w:r w:rsidRPr="00480E93">
        <w:rPr>
          <w:rStyle w:val="Label"/>
          <w:vertAlign w:val="superscript"/>
        </w:rPr>
        <w:t>7</w:t>
      </w:r>
      <w:bookmarkEnd w:id="51"/>
      <w:r>
        <w:rPr>
          <w:bCs/>
        </w:rPr>
        <w:t>EZH2, enhancer of zeste homolog 2, is a histone-lysine N-methyltransferase enzyme</w:t>
      </w:r>
    </w:p>
    <w:p w14:paraId="1973F35A" w14:textId="6B3F4AD8" w:rsidR="00FE50C9" w:rsidRPr="00643AEB" w:rsidRDefault="0085140E" w:rsidP="00643AEB">
      <w:pPr>
        <w:pStyle w:val="TableFootnote"/>
        <w:rPr>
          <w:bCs/>
        </w:rPr>
      </w:pPr>
      <w:bookmarkStart w:id="52" w:name="tb2fn8"/>
      <w:r w:rsidRPr="00480E93">
        <w:rPr>
          <w:rStyle w:val="Label"/>
          <w:vertAlign w:val="superscript"/>
        </w:rPr>
        <w:t>8</w:t>
      </w:r>
      <w:bookmarkEnd w:id="52"/>
      <w:r>
        <w:rPr>
          <w:bCs/>
        </w:rPr>
        <w:t>POLR2A, RNA polymerase II subunit A, is the largest subunit of RNA polymerase II - the polymerase responsible for synthesizing messenger RNA in eukaryotes</w:t>
      </w:r>
    </w:p>
    <w:p w14:paraId="2BC2F49F" w14:textId="3AC51ACF" w:rsidR="0085140E" w:rsidRPr="00643AEB" w:rsidRDefault="0085140E" w:rsidP="00754048">
      <w:pPr>
        <w:pStyle w:val="TableCaption"/>
      </w:pPr>
      <w:bookmarkStart w:id="53" w:name="tb3"/>
      <w:r>
        <w:rPr>
          <w:rStyle w:val="Label"/>
          <w:color w:val="0000FF"/>
        </w:rPr>
        <w:t>Table 3.</w:t>
      </w:r>
      <w:bookmarkEnd w:id="53"/>
      <w:r>
        <w:t xml:space="preserve"> Serum glycosaminoglycan levels in enrolled individuals with and without PMED</w:t>
      </w:r>
      <w:r w:rsidR="00643AEB">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
        <w:gridCol w:w="797"/>
        <w:gridCol w:w="711"/>
        <w:gridCol w:w="949"/>
        <w:gridCol w:w="1089"/>
        <w:gridCol w:w="1268"/>
        <w:gridCol w:w="1290"/>
        <w:gridCol w:w="242"/>
        <w:gridCol w:w="1195"/>
        <w:gridCol w:w="236"/>
        <w:gridCol w:w="1150"/>
        <w:gridCol w:w="67"/>
        <w:gridCol w:w="1272"/>
        <w:gridCol w:w="68"/>
      </w:tblGrid>
      <w:tr w:rsidR="0085140E" w:rsidRPr="00FB7CC4" w14:paraId="67A6F2B6" w14:textId="77777777" w:rsidTr="00643AEB">
        <w:trPr>
          <w:gridAfter w:val="1"/>
          <w:wAfter w:w="32" w:type="pct"/>
          <w:trHeight w:val="276"/>
          <w:jc w:val="center"/>
        </w:trPr>
        <w:tc>
          <w:tcPr>
            <w:tcW w:w="588" w:type="pct"/>
            <w:gridSpan w:val="2"/>
            <w:vMerge w:val="restart"/>
            <w:tcBorders>
              <w:top w:val="single" w:sz="12" w:space="0" w:color="auto"/>
            </w:tcBorders>
            <w:shd w:val="clear" w:color="auto" w:fill="D9D9D9"/>
            <w:vAlign w:val="center"/>
          </w:tcPr>
          <w:p w14:paraId="712F40AB"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Family ID | Individual ID</w:t>
            </w:r>
          </w:p>
        </w:tc>
        <w:tc>
          <w:tcPr>
            <w:tcW w:w="330" w:type="pct"/>
            <w:vMerge w:val="restart"/>
            <w:tcBorders>
              <w:top w:val="single" w:sz="12" w:space="0" w:color="auto"/>
            </w:tcBorders>
            <w:shd w:val="clear" w:color="auto" w:fill="D9D9D9"/>
            <w:noWrap/>
            <w:vAlign w:val="center"/>
          </w:tcPr>
          <w:p w14:paraId="3CD0C6D9" w14:textId="5EDC11E1" w:rsidR="0085140E" w:rsidRPr="00480E93" w:rsidRDefault="0085140E" w:rsidP="00B002A0">
            <w:pPr>
              <w:jc w:val="center"/>
            </w:pPr>
            <w:r>
              <w:rPr>
                <w:rFonts w:ascii="Arial" w:eastAsiaTheme="minorEastAsia" w:hAnsi="Arial" w:cs="Arial"/>
                <w:b/>
                <w:sz w:val="20"/>
                <w:szCs w:val="20"/>
              </w:rPr>
              <w:t>Age</w:t>
            </w:r>
            <w:hyperlink w:anchor="bib1" w:history="1">
              <w:r w:rsidRPr="00480E93">
                <w:rPr>
                  <w:rStyle w:val="Hyperlink"/>
                  <w:rFonts w:ascii="Arial" w:eastAsiaTheme="minorEastAsia" w:hAnsi="Arial" w:cs="Arial"/>
                  <w:bCs/>
                  <w:sz w:val="20"/>
                  <w:szCs w:val="20"/>
                  <w:vertAlign w:val="superscript"/>
                </w:rPr>
                <w:t>1</w:t>
              </w:r>
            </w:hyperlink>
          </w:p>
          <w:p w14:paraId="30694DDF"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(yrs)</w:t>
            </w:r>
          </w:p>
        </w:tc>
        <w:tc>
          <w:tcPr>
            <w:tcW w:w="440" w:type="pct"/>
            <w:vMerge w:val="restart"/>
            <w:tcBorders>
              <w:top w:val="single" w:sz="12" w:space="0" w:color="auto"/>
            </w:tcBorders>
            <w:shd w:val="clear" w:color="auto" w:fill="D9D9D9"/>
            <w:vAlign w:val="center"/>
          </w:tcPr>
          <w:p w14:paraId="52DD3216"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Affected Status</w:t>
            </w:r>
          </w:p>
        </w:tc>
        <w:tc>
          <w:tcPr>
            <w:tcW w:w="1691" w:type="pct"/>
            <w:gridSpan w:val="3"/>
            <w:tcBorders>
              <w:top w:val="single" w:sz="12" w:space="0" w:color="auto"/>
              <w:bottom w:val="single" w:sz="8" w:space="0" w:color="auto"/>
            </w:tcBorders>
            <w:shd w:val="clear" w:color="auto" w:fill="D9D9D9"/>
            <w:noWrap/>
            <w:vAlign w:val="center"/>
          </w:tcPr>
          <w:p w14:paraId="0AD75A2D"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KS (ng/ml)</w:t>
            </w:r>
          </w:p>
        </w:tc>
        <w:tc>
          <w:tcPr>
            <w:tcW w:w="113" w:type="pct"/>
            <w:tcBorders>
              <w:top w:val="single" w:sz="12" w:space="0" w:color="auto"/>
              <w:bottom w:val="nil"/>
            </w:tcBorders>
            <w:shd w:val="clear" w:color="auto" w:fill="D9D9D9"/>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12" w:space="0" w:color="auto"/>
              <w:bottom w:val="single" w:sz="8" w:space="0" w:color="auto"/>
            </w:tcBorders>
            <w:shd w:val="clear" w:color="auto" w:fill="D9D9D9"/>
            <w:vAlign w:val="center"/>
          </w:tcPr>
          <w:p w14:paraId="79B29105"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DS (ng/ml)</w:t>
            </w:r>
          </w:p>
        </w:tc>
        <w:tc>
          <w:tcPr>
            <w:tcW w:w="97" w:type="pct"/>
            <w:tcBorders>
              <w:top w:val="single" w:sz="12" w:space="0" w:color="auto"/>
              <w:bottom w:val="nil"/>
            </w:tcBorders>
            <w:shd w:val="clear" w:color="auto" w:fill="D9D9D9"/>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tcBorders>
              <w:top w:val="single" w:sz="12" w:space="0" w:color="auto"/>
            </w:tcBorders>
            <w:shd w:val="clear" w:color="auto" w:fill="D9D9D9"/>
            <w:vAlign w:val="center"/>
          </w:tcPr>
          <w:p w14:paraId="0B0F5E72"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HS (ng/ml)</w:t>
            </w:r>
          </w:p>
        </w:tc>
      </w:tr>
      <w:tr w:rsidR="0085140E" w:rsidRPr="00FB7CC4" w14:paraId="219D4EE7" w14:textId="77777777" w:rsidTr="00643AEB">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shd w:val="clear" w:color="auto" w:fill="D9D9D9"/>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shd w:val="clear" w:color="auto" w:fill="D9D9D9"/>
            <w:noWrap/>
            <w:vAlign w:val="center"/>
            <w:hideMark/>
          </w:tcPr>
          <w:p w14:paraId="6A45FAA8" w14:textId="7EE29E65" w:rsidR="0085140E" w:rsidRPr="00480E93" w:rsidRDefault="0085140E" w:rsidP="00B002A0">
            <w:pPr>
              <w:jc w:val="center"/>
            </w:pPr>
            <w:r>
              <w:rPr>
                <w:rFonts w:ascii="Arial" w:eastAsiaTheme="minorEastAsia" w:hAnsi="Arial" w:cs="Arial"/>
                <w:b/>
                <w:sz w:val="20"/>
                <w:szCs w:val="20"/>
              </w:rPr>
              <w:t>Di-S KS</w:t>
            </w:r>
            <w:hyperlink w:anchor="bib2" w:history="1">
              <w:r w:rsidRPr="00480E93">
                <w:rPr>
                  <w:rStyle w:val="Hyperlink"/>
                  <w:rFonts w:ascii="Arial" w:eastAsiaTheme="minorEastAsia" w:hAnsi="Arial" w:cs="Arial"/>
                  <w:b/>
                  <w:sz w:val="20"/>
                  <w:szCs w:val="20"/>
                  <w:vertAlign w:val="superscript"/>
                </w:rPr>
                <w:t>2</w:t>
              </w:r>
            </w:hyperlink>
          </w:p>
        </w:tc>
        <w:tc>
          <w:tcPr>
            <w:tcW w:w="588" w:type="pct"/>
            <w:tcBorders>
              <w:top w:val="single" w:sz="8" w:space="0" w:color="auto"/>
              <w:bottom w:val="single" w:sz="12" w:space="0" w:color="auto"/>
            </w:tcBorders>
            <w:shd w:val="clear" w:color="auto" w:fill="D9D9D9"/>
            <w:noWrap/>
            <w:vAlign w:val="center"/>
            <w:hideMark/>
          </w:tcPr>
          <w:p w14:paraId="19ADE250" w14:textId="3B699716" w:rsidR="0085140E" w:rsidRPr="00480E93" w:rsidRDefault="0085140E" w:rsidP="00B002A0">
            <w:pPr>
              <w:jc w:val="center"/>
            </w:pPr>
            <w:r>
              <w:rPr>
                <w:rFonts w:ascii="Arial" w:eastAsiaTheme="minorEastAsia" w:hAnsi="Arial" w:cs="Arial"/>
                <w:b/>
                <w:sz w:val="20"/>
                <w:szCs w:val="20"/>
              </w:rPr>
              <w:t>Mono-S KS</w:t>
            </w:r>
            <w:hyperlink w:anchor="bib3" w:history="1">
              <w:r w:rsidRPr="00480E93">
                <w:rPr>
                  <w:rStyle w:val="Hyperlink"/>
                  <w:rFonts w:ascii="Arial" w:eastAsiaTheme="minorEastAsia" w:hAnsi="Arial" w:cs="Arial"/>
                  <w:b/>
                  <w:sz w:val="20"/>
                  <w:szCs w:val="20"/>
                  <w:vertAlign w:val="superscript"/>
                </w:rPr>
                <w:t>3</w:t>
              </w:r>
            </w:hyperlink>
          </w:p>
        </w:tc>
        <w:tc>
          <w:tcPr>
            <w:tcW w:w="598" w:type="pct"/>
            <w:tcBorders>
              <w:top w:val="single" w:sz="8" w:space="0" w:color="auto"/>
              <w:bottom w:val="single" w:sz="12" w:space="0" w:color="auto"/>
            </w:tcBorders>
            <w:shd w:val="clear" w:color="auto" w:fill="D9D9D9"/>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Total sulfated KS</w:t>
            </w:r>
          </w:p>
        </w:tc>
        <w:tc>
          <w:tcPr>
            <w:tcW w:w="113" w:type="pct"/>
            <w:tcBorders>
              <w:top w:val="nil"/>
              <w:bottom w:val="single" w:sz="12" w:space="0" w:color="auto"/>
            </w:tcBorders>
            <w:shd w:val="clear" w:color="auto" w:fill="D9D9D9"/>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shd w:val="clear" w:color="auto" w:fill="D9D9D9"/>
            <w:vAlign w:val="center"/>
          </w:tcPr>
          <w:p w14:paraId="7B5D2980" w14:textId="5B0538A8" w:rsidR="0085140E" w:rsidRPr="00480E93" w:rsidRDefault="0085140E" w:rsidP="00B002A0">
            <w:pPr>
              <w:jc w:val="center"/>
            </w:pPr>
            <w:r>
              <w:rPr>
                <w:rFonts w:ascii="Arial" w:eastAsiaTheme="minorEastAsia" w:hAnsi="Arial" w:cs="Arial"/>
                <w:b/>
                <w:sz w:val="20"/>
                <w:szCs w:val="20"/>
              </w:rPr>
              <w:t>ΔDi-4S</w:t>
            </w:r>
            <w:hyperlink w:anchor="bib4" w:history="1">
              <w:r w:rsidRPr="00480E93">
                <w:rPr>
                  <w:rStyle w:val="Hyperlink"/>
                  <w:rFonts w:ascii="Arial" w:eastAsiaTheme="minorEastAsia" w:hAnsi="Arial" w:cs="Arial"/>
                  <w:b/>
                  <w:sz w:val="20"/>
                  <w:szCs w:val="20"/>
                  <w:vertAlign w:val="superscript"/>
                </w:rPr>
                <w:t>4</w:t>
              </w:r>
            </w:hyperlink>
          </w:p>
        </w:tc>
        <w:tc>
          <w:tcPr>
            <w:tcW w:w="97" w:type="pct"/>
            <w:tcBorders>
              <w:top w:val="nil"/>
              <w:bottom w:val="single" w:sz="12" w:space="0" w:color="auto"/>
            </w:tcBorders>
            <w:shd w:val="clear" w:color="auto" w:fill="D9D9D9"/>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shd w:val="clear" w:color="auto" w:fill="D9D9D9"/>
            <w:vAlign w:val="center"/>
          </w:tcPr>
          <w:p w14:paraId="77786DBD" w14:textId="5C77E6DD" w:rsidR="0085140E" w:rsidRPr="00480E93" w:rsidRDefault="0085140E" w:rsidP="00B002A0">
            <w:pPr>
              <w:jc w:val="center"/>
            </w:pPr>
            <w:r>
              <w:rPr>
                <w:rFonts w:ascii="Arial" w:eastAsiaTheme="minorEastAsia" w:hAnsi="Arial" w:cs="Arial"/>
                <w:b/>
                <w:sz w:val="20"/>
                <w:szCs w:val="20"/>
              </w:rPr>
              <w:t>ΔDiHS-NS</w:t>
            </w:r>
            <w:hyperlink w:anchor="bib5" w:history="1">
              <w:r w:rsidRPr="00480E93">
                <w:rPr>
                  <w:rStyle w:val="Hyperlink"/>
                  <w:rFonts w:ascii="Arial" w:eastAsiaTheme="minorEastAsia" w:hAnsi="Arial" w:cs="Arial"/>
                  <w:b/>
                  <w:sz w:val="20"/>
                  <w:szCs w:val="20"/>
                  <w:vertAlign w:val="superscript"/>
                </w:rPr>
                <w:t>5</w:t>
              </w:r>
            </w:hyperlink>
          </w:p>
        </w:tc>
        <w:tc>
          <w:tcPr>
            <w:tcW w:w="621" w:type="pct"/>
            <w:gridSpan w:val="2"/>
            <w:tcBorders>
              <w:top w:val="single" w:sz="8" w:space="0" w:color="auto"/>
              <w:bottom w:val="single" w:sz="12" w:space="0" w:color="auto"/>
            </w:tcBorders>
            <w:shd w:val="clear" w:color="auto" w:fill="D9D9D9"/>
            <w:vAlign w:val="center"/>
          </w:tcPr>
          <w:p w14:paraId="6216D95A" w14:textId="276FD140" w:rsidR="0085140E" w:rsidRPr="00480E93" w:rsidRDefault="0085140E" w:rsidP="00B002A0">
            <w:pPr>
              <w:jc w:val="center"/>
            </w:pPr>
            <w:r>
              <w:rPr>
                <w:rFonts w:ascii="Arial" w:eastAsiaTheme="minorEastAsia" w:hAnsi="Arial" w:cs="Arial"/>
                <w:b/>
                <w:sz w:val="20"/>
                <w:szCs w:val="20"/>
              </w:rPr>
              <w:t>ΔDiHS-oS</w:t>
            </w:r>
            <w:hyperlink w:anchor="bib6" w:history="1">
              <w:r w:rsidRPr="00480E93">
                <w:rPr>
                  <w:rStyle w:val="Hyperlink"/>
                  <w:rFonts w:ascii="Arial" w:eastAsiaTheme="minorEastAsia" w:hAnsi="Arial" w:cs="Arial"/>
                  <w:b/>
                  <w:sz w:val="20"/>
                  <w:szCs w:val="20"/>
                  <w:vertAlign w:val="superscript"/>
                </w:rPr>
                <w:t>6</w:t>
              </w:r>
            </w:hyperlink>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65433E49" w:rsidR="0085140E" w:rsidRPr="00480E93" w:rsidRDefault="0085140E" w:rsidP="00B002A0">
            <w:pPr>
              <w:ind w:left="-296" w:right="-120" w:firstLine="86"/>
            </w:pPr>
            <w:r w:rsidRPr="00FB7CC4">
              <w:rPr>
                <w:rFonts w:ascii="Arial" w:eastAsiaTheme="minorEastAsia" w:hAnsi="Arial" w:cs="Arial"/>
                <w:bCs/>
                <w:sz w:val="20"/>
                <w:szCs w:val="20"/>
              </w:rPr>
              <w:t>5</w:t>
            </w:r>
            <w:hyperlink w:anchor="bib7" w:history="1">
              <w:r w:rsidRPr="00480E93">
                <w:rPr>
                  <w:rStyle w:val="Hyperlink"/>
                  <w:rFonts w:ascii="Arial" w:eastAsiaTheme="minorEastAsia" w:hAnsi="Arial" w:cs="Arial"/>
                  <w:bCs/>
                  <w:sz w:val="20"/>
                  <w:szCs w:val="20"/>
                  <w:vertAlign w:val="superscript"/>
                </w:rPr>
                <w:t>7</w:t>
              </w:r>
            </w:hyperlink>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514B13BC" w:rsidR="0085140E" w:rsidRPr="00480E93" w:rsidRDefault="0085140E" w:rsidP="00B002A0">
            <w:pPr>
              <w:ind w:left="-296" w:right="-120" w:firstLine="86"/>
            </w:pPr>
            <w:r w:rsidRPr="00FB7CC4">
              <w:rPr>
                <w:rFonts w:ascii="Arial" w:eastAsiaTheme="minorEastAsia" w:hAnsi="Arial" w:cs="Arial"/>
                <w:bCs/>
                <w:sz w:val="20"/>
                <w:szCs w:val="20"/>
              </w:rPr>
              <w:t>6</w:t>
            </w:r>
            <w:hyperlink w:anchor="bib8" w:history="1">
              <w:r w:rsidRPr="00480E93">
                <w:rPr>
                  <w:rStyle w:val="Hyperlink"/>
                  <w:rFonts w:ascii="Arial" w:eastAsiaTheme="minorEastAsia" w:hAnsi="Arial" w:cs="Arial"/>
                  <w:bCs/>
                  <w:sz w:val="20"/>
                  <w:szCs w:val="20"/>
                  <w:vertAlign w:val="superscript"/>
                </w:rPr>
                <w:t>8</w:t>
              </w:r>
            </w:hyperlink>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6E774A8F" w:rsidR="0085140E" w:rsidRPr="00480E93" w:rsidRDefault="0085140E" w:rsidP="00B002A0">
            <w:pPr>
              <w:ind w:left="-296" w:right="-120" w:firstLine="86"/>
            </w:pPr>
            <w:r w:rsidRPr="00FB7CC4">
              <w:rPr>
                <w:rFonts w:ascii="Arial" w:eastAsiaTheme="minorEastAsia" w:hAnsi="Arial" w:cs="Arial"/>
                <w:bCs/>
                <w:sz w:val="20"/>
                <w:szCs w:val="20"/>
              </w:rPr>
              <w:t>7</w:t>
            </w:r>
            <w:hyperlink w:anchor="bib8" w:history="1">
              <w:r w:rsidRPr="00480E93">
                <w:rPr>
                  <w:rStyle w:val="Hyperlink"/>
                  <w:rFonts w:ascii="Arial" w:eastAsiaTheme="minorEastAsia" w:hAnsi="Arial" w:cs="Arial"/>
                  <w:bCs/>
                  <w:sz w:val="20"/>
                  <w:szCs w:val="20"/>
                  <w:vertAlign w:val="superscript"/>
                </w:rPr>
                <w:t>8</w:t>
              </w:r>
            </w:hyperlink>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C00DC6B" w14:textId="77777777" w:rsidR="00FE50C9" w:rsidRDefault="0085140E" w:rsidP="00B002A0">
            <w:pPr>
              <w:ind w:left="-204" w:right="-120" w:firstLine="56"/>
              <w:jc w:val="center"/>
              <w:rPr>
                <w:rFonts w:ascii="Arial" w:eastAsiaTheme="minorEastAsia" w:hAnsi="Arial" w:cs="Arial"/>
                <w:b/>
                <w:sz w:val="20"/>
                <w:szCs w:val="20"/>
              </w:rPr>
            </w:pPr>
            <w:r>
              <w:rPr>
                <w:rFonts w:ascii="Arial" w:eastAsiaTheme="minorEastAsia" w:hAnsi="Arial" w:cs="Arial"/>
                <w:b/>
                <w:sz w:val="20"/>
                <w:szCs w:val="20"/>
              </w:rPr>
              <w:t>Mean</w:t>
            </w:r>
          </w:p>
          <w:p w14:paraId="701A5689" w14:textId="3BF18826" w:rsidR="0085140E" w:rsidRPr="00FB7CC4" w:rsidRDefault="0085140E" w:rsidP="00B002A0">
            <w:pPr>
              <w:ind w:left="-204" w:right="-120" w:firstLine="56"/>
              <w:jc w:val="center"/>
              <w:rPr>
                <w:rFonts w:ascii="Arial" w:eastAsiaTheme="minorEastAsia" w:hAnsi="Arial" w:cs="Arial"/>
                <w:bCs/>
                <w:sz w:val="20"/>
                <w:szCs w:val="20"/>
              </w:rPr>
            </w:pPr>
            <w:r>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1E4B7052" w14:textId="77777777" w:rsidR="00FE50C9" w:rsidRDefault="0085140E" w:rsidP="00B002A0">
            <w:pPr>
              <w:ind w:left="-29" w:right="-79"/>
              <w:jc w:val="center"/>
              <w:rPr>
                <w:rFonts w:ascii="Arial" w:eastAsiaTheme="minorEastAsia" w:hAnsi="Arial" w:cs="Arial"/>
                <w:bCs/>
                <w:sz w:val="20"/>
                <w:szCs w:val="20"/>
              </w:rPr>
            </w:pPr>
            <w:r>
              <w:rPr>
                <w:rFonts w:ascii="Arial" w:eastAsiaTheme="minorEastAsia" w:hAnsi="Arial" w:cs="Arial"/>
                <w:b/>
                <w:sz w:val="20"/>
                <w:szCs w:val="20"/>
              </w:rPr>
              <w:t>112.1</w:t>
            </w:r>
          </w:p>
          <w:p w14:paraId="4AEECCC8" w14:textId="0814BAB5" w:rsidR="0085140E" w:rsidRPr="00FB7CC4" w:rsidRDefault="0085140E" w:rsidP="00B002A0">
            <w:pPr>
              <w:ind w:left="-119" w:right="-169"/>
              <w:rPr>
                <w:rFonts w:ascii="Arial" w:eastAsiaTheme="minorEastAsia" w:hAnsi="Arial" w:cs="Arial"/>
                <w:sz w:val="20"/>
                <w:szCs w:val="20"/>
              </w:rPr>
            </w:pPr>
            <w:r>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9423E52" w:rsidR="0085140E" w:rsidRPr="00FB7CC4" w:rsidRDefault="0085140E" w:rsidP="00B002A0">
            <w:pPr>
              <w:jc w:val="right"/>
              <w:rPr>
                <w:rFonts w:ascii="Arial" w:hAnsi="Arial" w:cs="Arial"/>
                <w:bCs/>
                <w:sz w:val="20"/>
                <w:szCs w:val="20"/>
              </w:rPr>
            </w:pPr>
            <w:r>
              <w:rPr>
                <w:rFonts w:ascii="Arial" w:hAnsi="Arial" w:cs="Arial"/>
                <w:bCs/>
                <w:sz w:val="20"/>
                <w:szCs w:val="20"/>
              </w:rPr>
              <w:t>►</w:t>
            </w:r>
            <w:r w:rsidR="00FE50C9" w:rsidRPr="00FE50C9">
              <w:rPr>
                <w:rFonts w:ascii="Arial" w:hAnsi="Arial" w:cs="Arial"/>
                <w:bCs/>
                <w:sz w:val="20"/>
                <w:szCs w:val="20"/>
              </w:rPr>
              <w:t xml:space="preserve"> </w:t>
            </w:r>
            <w:r>
              <w:rPr>
                <w:rFonts w:ascii="Arial" w:hAnsi="Arial" w:cs="Arial"/>
                <w:bCs/>
                <w:sz w:val="20"/>
                <w:szCs w:val="20"/>
              </w:rPr>
              <w:t>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10A85021" w:rsidR="0085140E" w:rsidRPr="00FB7CC4" w:rsidRDefault="0085140E" w:rsidP="00B002A0">
            <w:pPr>
              <w:jc w:val="right"/>
              <w:rPr>
                <w:rFonts w:ascii="Arial" w:hAnsi="Arial" w:cs="Arial"/>
                <w:bCs/>
                <w:sz w:val="20"/>
                <w:szCs w:val="20"/>
              </w:rPr>
            </w:pPr>
            <w:r>
              <w:rPr>
                <w:rFonts w:ascii="Arial" w:hAnsi="Arial" w:cs="Arial"/>
                <w:bCs/>
                <w:sz w:val="20"/>
                <w:szCs w:val="20"/>
              </w:rPr>
              <w:t>►</w:t>
            </w:r>
            <w:r w:rsidR="00FE50C9" w:rsidRPr="00FE50C9">
              <w:rPr>
                <w:rFonts w:ascii="Arial" w:hAnsi="Arial" w:cs="Arial"/>
                <w:bCs/>
                <w:sz w:val="20"/>
                <w:szCs w:val="20"/>
              </w:rPr>
              <w:t xml:space="preserve"> </w:t>
            </w:r>
            <w:r>
              <w:rPr>
                <w:rFonts w:ascii="Arial" w:hAnsi="Arial" w:cs="Arial"/>
                <w:bCs/>
                <w:sz w:val="20"/>
                <w:szCs w:val="20"/>
              </w:rPr>
              <w:t>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67.6</w:t>
            </w:r>
          </w:p>
        </w:tc>
      </w:tr>
    </w:tbl>
    <w:p w14:paraId="2E1304D8" w14:textId="77777777" w:rsidR="00480E93" w:rsidRDefault="0085140E" w:rsidP="00371CC1">
      <w:pPr>
        <w:pStyle w:val="TableFootnote"/>
      </w:pPr>
      <w:r>
        <w:rPr>
          <w:rFonts w:ascii="Arial" w:hAnsi="Arial" w:cs="Arial"/>
          <w:bCs/>
        </w:rPr>
        <w:t>►</w:t>
      </w:r>
      <w:r>
        <w:rPr>
          <w:bCs/>
        </w:rPr>
        <w:t xml:space="preserve"> indicates proband. </w:t>
      </w:r>
      <w:r>
        <w:t xml:space="preserve">Measurement values outside of “mean ± 2 SD (1.5 SD)” of healthy control values were annotated with downward arrow ↓ or upward arrow ↑. </w:t>
      </w:r>
      <w:r w:rsidRPr="00FB7CC4">
        <w:rPr>
          <w:vertAlign w:val="superscript"/>
        </w:rPr>
        <w:t>1</w:t>
      </w:r>
      <w:r>
        <w:t>Age at serum sample collection</w:t>
      </w:r>
    </w:p>
    <w:p w14:paraId="016E8BB5" w14:textId="77777777" w:rsidR="00480E93" w:rsidRDefault="0085140E" w:rsidP="00371CC1">
      <w:pPr>
        <w:pStyle w:val="TableFootnote"/>
      </w:pPr>
      <w:bookmarkStart w:id="54" w:name="tb3fn1"/>
      <w:r w:rsidRPr="00480E93">
        <w:rPr>
          <w:rStyle w:val="Label"/>
          <w:vertAlign w:val="superscript"/>
        </w:rPr>
        <w:t>2</w:t>
      </w:r>
      <w:bookmarkEnd w:id="54"/>
      <w:r>
        <w:t>Di-S KS: di-sulfated KS, Gal(6S)β1 → 4GlcNAc(6S)</w:t>
      </w:r>
    </w:p>
    <w:p w14:paraId="591ADBB9" w14:textId="77777777" w:rsidR="00480E93" w:rsidRDefault="0085140E" w:rsidP="00371CC1">
      <w:pPr>
        <w:pStyle w:val="TableFootnote"/>
      </w:pPr>
      <w:bookmarkStart w:id="55" w:name="tb3fn2"/>
      <w:r w:rsidRPr="00480E93">
        <w:rPr>
          <w:rStyle w:val="Label"/>
          <w:vertAlign w:val="superscript"/>
        </w:rPr>
        <w:t>3</w:t>
      </w:r>
      <w:bookmarkEnd w:id="55"/>
      <w:r>
        <w:t>Mono-S KS: mono-sulfated KS, Galβ1 → 4GlcNAc(6S)</w:t>
      </w:r>
    </w:p>
    <w:p w14:paraId="5498D413" w14:textId="77777777" w:rsidR="00480E93" w:rsidRDefault="0085140E" w:rsidP="00371CC1">
      <w:pPr>
        <w:pStyle w:val="TableFootnote"/>
      </w:pPr>
      <w:bookmarkStart w:id="56" w:name="tb3fn3"/>
      <w:r w:rsidRPr="00480E93">
        <w:rPr>
          <w:rStyle w:val="Label"/>
          <w:vertAlign w:val="superscript"/>
        </w:rPr>
        <w:t>4</w:t>
      </w:r>
      <w:bookmarkEnd w:id="56"/>
      <w:r>
        <w:t>∆Di-4S [∆HexUAα1–4GlcNAc(4-O-sulfate)]: 2-acetamido-2-deoxy-4-O-(4-deoxy-a-L-threohex-4-enopyranosyluronic acid)-4-O-sulfo-D-glucose</w:t>
      </w:r>
    </w:p>
    <w:p w14:paraId="0C50175B" w14:textId="77777777" w:rsidR="00480E93" w:rsidRDefault="0085140E" w:rsidP="00371CC1">
      <w:pPr>
        <w:pStyle w:val="TableFootnote"/>
      </w:pPr>
      <w:bookmarkStart w:id="57" w:name="tb3fn4"/>
      <w:r w:rsidRPr="00480E93">
        <w:rPr>
          <w:rStyle w:val="Label"/>
          <w:vertAlign w:val="superscript"/>
        </w:rPr>
        <w:t>5</w:t>
      </w:r>
      <w:bookmarkEnd w:id="57"/>
      <w:r>
        <w:t>∆DiHS-NS [∆HexUAα1-4GlcN(2-N-sulfate)]: 2-deoxy-2-sulfamino-4-O-(4-deoxy-a-L-threo-hex-4-enopyranosyluronic acid)-D-glucose</w:t>
      </w:r>
    </w:p>
    <w:p w14:paraId="69A5E807" w14:textId="77777777" w:rsidR="00480E93" w:rsidRDefault="0085140E" w:rsidP="00371CC1">
      <w:pPr>
        <w:pStyle w:val="TableFootnote"/>
      </w:pPr>
      <w:bookmarkStart w:id="58" w:name="tb3fn5"/>
      <w:r w:rsidRPr="00480E93">
        <w:rPr>
          <w:rStyle w:val="Label"/>
          <w:vertAlign w:val="superscript"/>
        </w:rPr>
        <w:t>6</w:t>
      </w:r>
      <w:bookmarkEnd w:id="58"/>
      <w:r>
        <w:t>∆DiHS-oS (∆HexUAα1–4GlcNAc): 2-acetamido-2-deoxy-4-O-(4-deoxy-a-L-threo-hex-4-nopyranosyluronic acid) -D-glucose</w:t>
      </w:r>
    </w:p>
    <w:p w14:paraId="1E7B3BA2" w14:textId="77777777" w:rsidR="00480E93" w:rsidRDefault="0085140E" w:rsidP="00371CC1">
      <w:pPr>
        <w:pStyle w:val="TableFootnote"/>
      </w:pPr>
      <w:bookmarkStart w:id="59" w:name="tb3fn6"/>
      <w:r w:rsidRPr="00480E93">
        <w:rPr>
          <w:rStyle w:val="Label"/>
          <w:vertAlign w:val="superscript"/>
        </w:rPr>
        <w:t>7</w:t>
      </w:r>
      <w:bookmarkEnd w:id="59"/>
      <w:r>
        <w:t>Spouse of individual II-2 from family E</w:t>
      </w:r>
    </w:p>
    <w:p w14:paraId="06573B04" w14:textId="0A8EAC78" w:rsidR="00FE50C9" w:rsidRPr="00371CC1" w:rsidRDefault="0085140E" w:rsidP="00371CC1">
      <w:pPr>
        <w:pStyle w:val="TableFootnote"/>
      </w:pPr>
      <w:bookmarkStart w:id="60" w:name="tb3fn7"/>
      <w:r w:rsidRPr="00480E93">
        <w:rPr>
          <w:rStyle w:val="Label"/>
          <w:vertAlign w:val="superscript"/>
        </w:rPr>
        <w:t>8</w:t>
      </w:r>
      <w:bookmarkEnd w:id="60"/>
      <w:r>
        <w:t>Individuals clinically diagnosed with Fleck Corneal Dystrophy</w:t>
      </w:r>
    </w:p>
    <w:p w14:paraId="06F661F5" w14:textId="18FB5677" w:rsidR="0085140E" w:rsidRPr="00371CC1" w:rsidRDefault="0085140E" w:rsidP="00754048">
      <w:pPr>
        <w:pStyle w:val="TableCaption"/>
      </w:pPr>
      <w:bookmarkStart w:id="61" w:name="tb4"/>
      <w:r>
        <w:rPr>
          <w:rStyle w:val="Label"/>
          <w:color w:val="0000FF"/>
        </w:rPr>
        <w:t>Table 4.</w:t>
      </w:r>
      <w:bookmarkEnd w:id="61"/>
      <w:r>
        <w:t xml:space="preserve"> DBS glycosaminoglycan levels in enrolled individuals with and without PMED</w:t>
      </w:r>
      <w:r w:rsidR="00371CC1">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
        <w:gridCol w:w="797"/>
        <w:gridCol w:w="717"/>
        <w:gridCol w:w="955"/>
        <w:gridCol w:w="1098"/>
        <w:gridCol w:w="1277"/>
        <w:gridCol w:w="1299"/>
        <w:gridCol w:w="244"/>
        <w:gridCol w:w="1204"/>
        <w:gridCol w:w="236"/>
        <w:gridCol w:w="1158"/>
        <w:gridCol w:w="1346"/>
      </w:tblGrid>
      <w:tr w:rsidR="0085140E" w:rsidRPr="00FB7CC4" w14:paraId="1AB7FA5C" w14:textId="77777777" w:rsidTr="00371CC1">
        <w:trPr>
          <w:trHeight w:val="276"/>
          <w:jc w:val="center"/>
        </w:trPr>
        <w:tc>
          <w:tcPr>
            <w:tcW w:w="590" w:type="pct"/>
            <w:gridSpan w:val="2"/>
            <w:vMerge w:val="restart"/>
            <w:tcBorders>
              <w:top w:val="single" w:sz="12" w:space="0" w:color="auto"/>
            </w:tcBorders>
            <w:shd w:val="clear" w:color="auto" w:fill="D9D9D9"/>
            <w:vAlign w:val="center"/>
          </w:tcPr>
          <w:p w14:paraId="35189965"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Family ID | Individual ID</w:t>
            </w:r>
          </w:p>
        </w:tc>
        <w:tc>
          <w:tcPr>
            <w:tcW w:w="333" w:type="pct"/>
            <w:vMerge w:val="restart"/>
            <w:tcBorders>
              <w:top w:val="single" w:sz="12" w:space="0" w:color="auto"/>
            </w:tcBorders>
            <w:shd w:val="clear" w:color="auto" w:fill="D9D9D9"/>
            <w:noWrap/>
            <w:vAlign w:val="center"/>
          </w:tcPr>
          <w:p w14:paraId="0BC183AC" w14:textId="71E9F64A" w:rsidR="0085140E" w:rsidRPr="00480E93" w:rsidRDefault="0085140E" w:rsidP="00B002A0">
            <w:pPr>
              <w:jc w:val="center"/>
            </w:pPr>
            <w:r>
              <w:rPr>
                <w:rFonts w:ascii="Arial" w:eastAsiaTheme="minorEastAsia" w:hAnsi="Arial" w:cs="Arial"/>
                <w:b/>
                <w:sz w:val="20"/>
                <w:szCs w:val="20"/>
              </w:rPr>
              <w:t>Age</w:t>
            </w:r>
            <w:hyperlink w:anchor="bib1" w:history="1">
              <w:r w:rsidRPr="00480E93">
                <w:rPr>
                  <w:rStyle w:val="Hyperlink"/>
                  <w:rFonts w:ascii="Arial" w:eastAsiaTheme="minorEastAsia" w:hAnsi="Arial" w:cs="Arial"/>
                  <w:bCs/>
                  <w:sz w:val="20"/>
                  <w:szCs w:val="20"/>
                  <w:vertAlign w:val="superscript"/>
                </w:rPr>
                <w:t>1</w:t>
              </w:r>
            </w:hyperlink>
          </w:p>
          <w:p w14:paraId="19E51802"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(yrs)</w:t>
            </w:r>
          </w:p>
        </w:tc>
        <w:tc>
          <w:tcPr>
            <w:tcW w:w="443" w:type="pct"/>
            <w:vMerge w:val="restart"/>
            <w:tcBorders>
              <w:top w:val="single" w:sz="12" w:space="0" w:color="auto"/>
            </w:tcBorders>
            <w:shd w:val="clear" w:color="auto" w:fill="D9D9D9"/>
            <w:vAlign w:val="center"/>
          </w:tcPr>
          <w:p w14:paraId="04D6B2E3"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Affected Status</w:t>
            </w:r>
          </w:p>
        </w:tc>
        <w:tc>
          <w:tcPr>
            <w:tcW w:w="1703" w:type="pct"/>
            <w:gridSpan w:val="3"/>
            <w:tcBorders>
              <w:top w:val="single" w:sz="12" w:space="0" w:color="auto"/>
              <w:bottom w:val="single" w:sz="8" w:space="0" w:color="auto"/>
            </w:tcBorders>
            <w:shd w:val="clear" w:color="auto" w:fill="D9D9D9"/>
            <w:noWrap/>
            <w:vAlign w:val="center"/>
          </w:tcPr>
          <w:p w14:paraId="3B995DBF"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KS (ng/ml)</w:t>
            </w:r>
          </w:p>
        </w:tc>
        <w:tc>
          <w:tcPr>
            <w:tcW w:w="114" w:type="pct"/>
            <w:tcBorders>
              <w:top w:val="single" w:sz="12" w:space="0" w:color="auto"/>
              <w:bottom w:val="nil"/>
            </w:tcBorders>
            <w:shd w:val="clear" w:color="auto" w:fill="D9D9D9"/>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12" w:space="0" w:color="auto"/>
              <w:bottom w:val="single" w:sz="8" w:space="0" w:color="auto"/>
            </w:tcBorders>
            <w:shd w:val="clear" w:color="auto" w:fill="D9D9D9"/>
            <w:vAlign w:val="center"/>
          </w:tcPr>
          <w:p w14:paraId="06F93639"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DS (ng/ml)</w:t>
            </w:r>
          </w:p>
        </w:tc>
        <w:tc>
          <w:tcPr>
            <w:tcW w:w="98" w:type="pct"/>
            <w:tcBorders>
              <w:top w:val="single" w:sz="12" w:space="0" w:color="auto"/>
              <w:bottom w:val="nil"/>
            </w:tcBorders>
            <w:shd w:val="clear" w:color="auto" w:fill="D9D9D9"/>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tcBorders>
              <w:top w:val="single" w:sz="12" w:space="0" w:color="auto"/>
            </w:tcBorders>
            <w:shd w:val="clear" w:color="auto" w:fill="D9D9D9"/>
            <w:vAlign w:val="center"/>
          </w:tcPr>
          <w:p w14:paraId="5A661EC9"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HS (ng/ml)</w:t>
            </w:r>
          </w:p>
        </w:tc>
      </w:tr>
      <w:tr w:rsidR="0085140E" w:rsidRPr="00FB7CC4" w14:paraId="7E71FC74" w14:textId="77777777" w:rsidTr="00371CC1">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shd w:val="clear" w:color="auto" w:fill="D9D9D9"/>
            <w:noWrap/>
            <w:vAlign w:val="center"/>
            <w:hideMark/>
          </w:tcPr>
          <w:p w14:paraId="553084BA" w14:textId="0E798F64" w:rsidR="0085140E" w:rsidRPr="00480E93" w:rsidRDefault="0085140E" w:rsidP="00B002A0">
            <w:pPr>
              <w:jc w:val="center"/>
            </w:pPr>
            <w:r>
              <w:rPr>
                <w:rFonts w:ascii="Arial" w:eastAsiaTheme="minorEastAsia" w:hAnsi="Arial" w:cs="Arial"/>
                <w:b/>
                <w:sz w:val="20"/>
                <w:szCs w:val="20"/>
              </w:rPr>
              <w:t>Di-S KS</w:t>
            </w:r>
            <w:hyperlink w:anchor="bib2" w:history="1">
              <w:r w:rsidRPr="00480E93">
                <w:rPr>
                  <w:rStyle w:val="Hyperlink"/>
                  <w:rFonts w:ascii="Arial" w:eastAsiaTheme="minorEastAsia" w:hAnsi="Arial" w:cs="Arial"/>
                  <w:b/>
                  <w:sz w:val="20"/>
                  <w:szCs w:val="20"/>
                  <w:vertAlign w:val="superscript"/>
                </w:rPr>
                <w:t>2</w:t>
              </w:r>
            </w:hyperlink>
          </w:p>
        </w:tc>
        <w:tc>
          <w:tcPr>
            <w:tcW w:w="592" w:type="pct"/>
            <w:tcBorders>
              <w:top w:val="single" w:sz="8" w:space="0" w:color="auto"/>
              <w:bottom w:val="single" w:sz="12" w:space="0" w:color="auto"/>
            </w:tcBorders>
            <w:shd w:val="clear" w:color="auto" w:fill="D9D9D9"/>
            <w:noWrap/>
            <w:vAlign w:val="center"/>
            <w:hideMark/>
          </w:tcPr>
          <w:p w14:paraId="4160C157" w14:textId="47062C49" w:rsidR="0085140E" w:rsidRPr="00480E93" w:rsidRDefault="0085140E" w:rsidP="00B002A0">
            <w:pPr>
              <w:jc w:val="center"/>
            </w:pPr>
            <w:r>
              <w:rPr>
                <w:rFonts w:ascii="Arial" w:eastAsiaTheme="minorEastAsia" w:hAnsi="Arial" w:cs="Arial"/>
                <w:b/>
                <w:sz w:val="20"/>
                <w:szCs w:val="20"/>
              </w:rPr>
              <w:t>Mono-S KS</w:t>
            </w:r>
            <w:hyperlink w:anchor="bib3" w:history="1">
              <w:r w:rsidRPr="00480E93">
                <w:rPr>
                  <w:rStyle w:val="Hyperlink"/>
                  <w:rFonts w:ascii="Arial" w:eastAsiaTheme="minorEastAsia" w:hAnsi="Arial" w:cs="Arial"/>
                  <w:b/>
                  <w:sz w:val="20"/>
                  <w:szCs w:val="20"/>
                  <w:vertAlign w:val="superscript"/>
                </w:rPr>
                <w:t>3</w:t>
              </w:r>
            </w:hyperlink>
          </w:p>
        </w:tc>
        <w:tc>
          <w:tcPr>
            <w:tcW w:w="602" w:type="pct"/>
            <w:tcBorders>
              <w:top w:val="single" w:sz="8" w:space="0" w:color="auto"/>
              <w:bottom w:val="single" w:sz="12" w:space="0" w:color="auto"/>
            </w:tcBorders>
            <w:shd w:val="clear" w:color="auto" w:fill="D9D9D9"/>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Total sulfated KS</w:t>
            </w:r>
          </w:p>
        </w:tc>
        <w:tc>
          <w:tcPr>
            <w:tcW w:w="114" w:type="pct"/>
            <w:tcBorders>
              <w:top w:val="nil"/>
              <w:bottom w:val="single" w:sz="12" w:space="0" w:color="auto"/>
            </w:tcBorders>
            <w:shd w:val="clear" w:color="auto" w:fill="D9D9D9"/>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shd w:val="clear" w:color="auto" w:fill="D9D9D9"/>
            <w:vAlign w:val="center"/>
          </w:tcPr>
          <w:p w14:paraId="6B60FC96" w14:textId="04C0F7F0" w:rsidR="0085140E" w:rsidRPr="00480E93" w:rsidRDefault="0085140E" w:rsidP="00B002A0">
            <w:pPr>
              <w:jc w:val="center"/>
            </w:pPr>
            <w:r>
              <w:rPr>
                <w:rFonts w:ascii="Arial" w:eastAsiaTheme="minorEastAsia" w:hAnsi="Arial" w:cs="Arial"/>
                <w:b/>
                <w:sz w:val="20"/>
                <w:szCs w:val="20"/>
              </w:rPr>
              <w:t>ΔDi-4S</w:t>
            </w:r>
            <w:hyperlink w:anchor="bib4" w:history="1">
              <w:r w:rsidRPr="00480E93">
                <w:rPr>
                  <w:rStyle w:val="Hyperlink"/>
                  <w:rFonts w:ascii="Arial" w:eastAsiaTheme="minorEastAsia" w:hAnsi="Arial" w:cs="Arial"/>
                  <w:b/>
                  <w:sz w:val="20"/>
                  <w:szCs w:val="20"/>
                  <w:vertAlign w:val="superscript"/>
                </w:rPr>
                <w:t>4</w:t>
              </w:r>
            </w:hyperlink>
          </w:p>
        </w:tc>
        <w:tc>
          <w:tcPr>
            <w:tcW w:w="98" w:type="pct"/>
            <w:tcBorders>
              <w:top w:val="nil"/>
              <w:bottom w:val="single" w:sz="12" w:space="0" w:color="auto"/>
            </w:tcBorders>
            <w:shd w:val="clear" w:color="auto" w:fill="D9D9D9"/>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shd w:val="clear" w:color="auto" w:fill="D9D9D9"/>
            <w:vAlign w:val="center"/>
          </w:tcPr>
          <w:p w14:paraId="23D52067" w14:textId="222F2A88" w:rsidR="0085140E" w:rsidRPr="00480E93" w:rsidRDefault="0085140E" w:rsidP="00B002A0">
            <w:pPr>
              <w:jc w:val="center"/>
            </w:pPr>
            <w:r>
              <w:rPr>
                <w:rFonts w:ascii="Arial" w:eastAsiaTheme="minorEastAsia" w:hAnsi="Arial" w:cs="Arial"/>
                <w:b/>
                <w:sz w:val="20"/>
                <w:szCs w:val="20"/>
              </w:rPr>
              <w:t>ΔDiHS-NS</w:t>
            </w:r>
            <w:hyperlink w:anchor="bib5" w:history="1">
              <w:r w:rsidRPr="00480E93">
                <w:rPr>
                  <w:rStyle w:val="Hyperlink"/>
                  <w:rFonts w:ascii="Arial" w:eastAsiaTheme="minorEastAsia" w:hAnsi="Arial" w:cs="Arial"/>
                  <w:b/>
                  <w:sz w:val="20"/>
                  <w:szCs w:val="20"/>
                  <w:vertAlign w:val="superscript"/>
                </w:rPr>
                <w:t>5</w:t>
              </w:r>
            </w:hyperlink>
          </w:p>
        </w:tc>
        <w:tc>
          <w:tcPr>
            <w:tcW w:w="626" w:type="pct"/>
            <w:tcBorders>
              <w:top w:val="single" w:sz="8" w:space="0" w:color="auto"/>
              <w:bottom w:val="single" w:sz="12" w:space="0" w:color="auto"/>
            </w:tcBorders>
            <w:shd w:val="clear" w:color="auto" w:fill="D9D9D9"/>
            <w:vAlign w:val="center"/>
          </w:tcPr>
          <w:p w14:paraId="4248D075" w14:textId="3C698457" w:rsidR="0085140E" w:rsidRPr="00480E93" w:rsidRDefault="0085140E" w:rsidP="00B002A0">
            <w:pPr>
              <w:jc w:val="center"/>
            </w:pPr>
            <w:r>
              <w:rPr>
                <w:rFonts w:ascii="Arial" w:eastAsiaTheme="minorEastAsia" w:hAnsi="Arial" w:cs="Arial"/>
                <w:b/>
                <w:sz w:val="20"/>
                <w:szCs w:val="20"/>
              </w:rPr>
              <w:t>ΔDiHS-oS</w:t>
            </w:r>
            <w:hyperlink w:anchor="bib6" w:history="1">
              <w:r w:rsidRPr="00480E93">
                <w:rPr>
                  <w:rStyle w:val="Hyperlink"/>
                  <w:rFonts w:ascii="Arial" w:eastAsiaTheme="minorEastAsia" w:hAnsi="Arial" w:cs="Arial"/>
                  <w:b/>
                  <w:sz w:val="20"/>
                  <w:szCs w:val="20"/>
                  <w:vertAlign w:val="superscript"/>
                </w:rPr>
                <w:t>6</w:t>
              </w:r>
            </w:hyperlink>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77DCF04" w14:textId="77777777" w:rsidR="00FE50C9" w:rsidRDefault="0085140E" w:rsidP="00B002A0">
            <w:pPr>
              <w:ind w:left="-204" w:right="-120" w:firstLine="56"/>
              <w:jc w:val="center"/>
              <w:rPr>
                <w:rFonts w:ascii="Arial" w:eastAsiaTheme="minorEastAsia" w:hAnsi="Arial" w:cs="Arial"/>
                <w:b/>
                <w:sz w:val="20"/>
                <w:szCs w:val="20"/>
              </w:rPr>
            </w:pPr>
            <w:r>
              <w:rPr>
                <w:rFonts w:ascii="Arial" w:eastAsiaTheme="minorEastAsia" w:hAnsi="Arial" w:cs="Arial"/>
                <w:b/>
                <w:sz w:val="20"/>
                <w:szCs w:val="20"/>
              </w:rPr>
              <w:t>Mean</w:t>
            </w:r>
          </w:p>
          <w:p w14:paraId="6F84E2A3" w14:textId="4F20C6F7" w:rsidR="0085140E" w:rsidRPr="00FB7CC4" w:rsidRDefault="0085140E" w:rsidP="00B002A0">
            <w:pPr>
              <w:ind w:left="-204" w:right="-120" w:firstLine="56"/>
              <w:jc w:val="center"/>
              <w:rPr>
                <w:rFonts w:ascii="Arial" w:eastAsiaTheme="minorEastAsia" w:hAnsi="Arial" w:cs="Arial"/>
                <w:bCs/>
                <w:sz w:val="20"/>
                <w:szCs w:val="20"/>
              </w:rPr>
            </w:pPr>
            <w:r>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5379337A" w14:textId="77777777" w:rsidR="00FE50C9" w:rsidRDefault="0085140E" w:rsidP="00B002A0">
            <w:pPr>
              <w:ind w:left="-29" w:right="-79"/>
              <w:jc w:val="center"/>
              <w:rPr>
                <w:rFonts w:ascii="Arial" w:eastAsiaTheme="minorEastAsia" w:hAnsi="Arial" w:cs="Arial"/>
                <w:bCs/>
                <w:sz w:val="20"/>
                <w:szCs w:val="20"/>
              </w:rPr>
            </w:pPr>
            <w:r>
              <w:rPr>
                <w:rFonts w:ascii="Arial" w:eastAsiaTheme="minorEastAsia" w:hAnsi="Arial" w:cs="Arial"/>
                <w:b/>
                <w:sz w:val="20"/>
                <w:szCs w:val="20"/>
              </w:rPr>
              <w:t>112.1</w:t>
            </w:r>
          </w:p>
          <w:p w14:paraId="272BC71D" w14:textId="707BABC2" w:rsidR="0085140E" w:rsidRPr="00FB7CC4" w:rsidRDefault="0085140E" w:rsidP="00B002A0">
            <w:pPr>
              <w:ind w:left="-119" w:right="-169"/>
              <w:rPr>
                <w:rFonts w:ascii="Arial" w:eastAsiaTheme="minorEastAsia" w:hAnsi="Arial" w:cs="Arial"/>
                <w:sz w:val="20"/>
                <w:szCs w:val="20"/>
              </w:rPr>
            </w:pPr>
            <w:r>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Pr>
                <w:rFonts w:ascii="Arial" w:eastAsiaTheme="minorEastAsia" w:hAnsi="Arial" w:cs="Arial"/>
                <w:sz w:val="20"/>
                <w:szCs w:val="20"/>
              </w:rPr>
              <w:t>57.1</w:t>
            </w:r>
          </w:p>
        </w:tc>
      </w:tr>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151CF4D6" w:rsidR="0085140E" w:rsidRPr="00FB7CC4" w:rsidRDefault="0085140E" w:rsidP="00B002A0">
            <w:pPr>
              <w:jc w:val="right"/>
              <w:rPr>
                <w:rFonts w:ascii="Arial" w:hAnsi="Arial" w:cs="Arial"/>
                <w:bCs/>
                <w:sz w:val="20"/>
                <w:szCs w:val="20"/>
              </w:rPr>
            </w:pPr>
            <w:r>
              <w:rPr>
                <w:rFonts w:ascii="Arial" w:hAnsi="Arial" w:cs="Arial"/>
                <w:bCs/>
                <w:sz w:val="20"/>
                <w:szCs w:val="20"/>
              </w:rPr>
              <w:t>►</w:t>
            </w:r>
            <w:r w:rsidR="00FE50C9" w:rsidRPr="00FE50C9">
              <w:rPr>
                <w:rFonts w:ascii="Arial" w:hAnsi="Arial" w:cs="Arial"/>
                <w:bCs/>
                <w:sz w:val="20"/>
                <w:szCs w:val="20"/>
              </w:rPr>
              <w:t xml:space="preserve"> </w:t>
            </w:r>
            <w:r>
              <w:rPr>
                <w:rFonts w:ascii="Arial" w:hAnsi="Arial" w:cs="Arial"/>
                <w:bCs/>
                <w:sz w:val="20"/>
                <w:szCs w:val="20"/>
              </w:rPr>
              <w:t>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Pr>
                <w:rFonts w:ascii="Arial" w:eastAsiaTheme="minorEastAsia" w:hAnsi="Arial" w:cs="Arial"/>
                <w:sz w:val="20"/>
                <w:szCs w:val="20"/>
              </w:rPr>
              <w:t>68.8</w:t>
            </w:r>
          </w:p>
        </w:tc>
      </w:tr>
    </w:tbl>
    <w:p w14:paraId="58F25FE9" w14:textId="77777777" w:rsidR="00480E93" w:rsidRDefault="0085140E" w:rsidP="00754048">
      <w:pPr>
        <w:pStyle w:val="TableFootnote"/>
      </w:pPr>
      <w:r>
        <w:rPr>
          <w:rFonts w:ascii="Arial" w:hAnsi="Arial" w:cs="Arial"/>
          <w:bCs/>
        </w:rPr>
        <w:t>►</w:t>
      </w:r>
      <w:r>
        <w:rPr>
          <w:bCs/>
        </w:rPr>
        <w:t xml:space="preserve"> indicates proband. </w:t>
      </w:r>
      <w:r>
        <w:t xml:space="preserve">Measurement values outside of “mean ± 2 SD (1.5 SD)” of healthy control values were annotated with downward arrow ↓ or upward arrow ↑. </w:t>
      </w:r>
      <w:r w:rsidRPr="00FB7CC4">
        <w:rPr>
          <w:vertAlign w:val="superscript"/>
        </w:rPr>
        <w:t>1</w:t>
      </w:r>
      <w:r>
        <w:t>Age at DBS sample collection</w:t>
      </w:r>
    </w:p>
    <w:p w14:paraId="38B55F8B" w14:textId="77777777" w:rsidR="00480E93" w:rsidRDefault="0085140E" w:rsidP="00754048">
      <w:pPr>
        <w:pStyle w:val="TableFootnote"/>
      </w:pPr>
      <w:bookmarkStart w:id="62" w:name="tb4fn1"/>
      <w:r w:rsidRPr="00480E93">
        <w:rPr>
          <w:rStyle w:val="Label"/>
          <w:vertAlign w:val="superscript"/>
        </w:rPr>
        <w:t>2</w:t>
      </w:r>
      <w:bookmarkEnd w:id="62"/>
      <w:r>
        <w:t>Di-S KS: di-sulfated KS, Gal(6S)β1 → 4GlcNAc(6S)</w:t>
      </w:r>
    </w:p>
    <w:p w14:paraId="460411D7" w14:textId="77777777" w:rsidR="00480E93" w:rsidRDefault="0085140E" w:rsidP="00754048">
      <w:pPr>
        <w:pStyle w:val="TableFootnote"/>
      </w:pPr>
      <w:bookmarkStart w:id="63" w:name="tb4fn2"/>
      <w:r w:rsidRPr="00480E93">
        <w:rPr>
          <w:rStyle w:val="Label"/>
          <w:vertAlign w:val="superscript"/>
        </w:rPr>
        <w:t>3</w:t>
      </w:r>
      <w:bookmarkEnd w:id="63"/>
      <w:r>
        <w:t>Mono-S KS: mono-sulfated KS, Galβ1 → 4GlcNAc(6S)</w:t>
      </w:r>
    </w:p>
    <w:p w14:paraId="5F743205" w14:textId="77777777" w:rsidR="00480E93" w:rsidRDefault="0085140E" w:rsidP="00754048">
      <w:pPr>
        <w:pStyle w:val="TableFootnote"/>
      </w:pPr>
      <w:bookmarkStart w:id="64" w:name="tb4fn3"/>
      <w:r w:rsidRPr="00480E93">
        <w:rPr>
          <w:rStyle w:val="Label"/>
          <w:vertAlign w:val="superscript"/>
        </w:rPr>
        <w:t>4</w:t>
      </w:r>
      <w:bookmarkEnd w:id="64"/>
      <w:r>
        <w:t>∆Di-4S [∆HexUAα1–4GlcNAc(4-O-sulfate)]: 2-acetamido-2-deoxy-4-O-(4-deoxy-a-L-threohex-4-enopyranosyluronic acid)-4-O-sulfo-D-glucose</w:t>
      </w:r>
    </w:p>
    <w:p w14:paraId="722EAA70" w14:textId="77777777" w:rsidR="00480E93" w:rsidRDefault="0085140E" w:rsidP="00754048">
      <w:pPr>
        <w:pStyle w:val="TableFootnote"/>
      </w:pPr>
      <w:bookmarkStart w:id="65" w:name="tb4fn4"/>
      <w:r w:rsidRPr="00480E93">
        <w:rPr>
          <w:rStyle w:val="Label"/>
          <w:vertAlign w:val="superscript"/>
        </w:rPr>
        <w:t>5</w:t>
      </w:r>
      <w:bookmarkEnd w:id="65"/>
      <w:r>
        <w:t>∆DiHS-NS [∆HexUAα1-4GlcN(2-N-sulfate)]: 2-deoxy-2-sulfamino-4-O-(4-deoxy-a-L-threo-hex-4-enopyranosyluronic acid)-D-glucose</w:t>
      </w:r>
    </w:p>
    <w:p w14:paraId="29DE9EAC" w14:textId="7E5085EC" w:rsidR="00FE50C9" w:rsidRPr="00754048" w:rsidRDefault="0085140E" w:rsidP="00754048">
      <w:pPr>
        <w:pStyle w:val="TableFootnote"/>
        <w:rPr>
          <w:vertAlign w:val="superscript"/>
        </w:rPr>
      </w:pPr>
      <w:bookmarkStart w:id="66" w:name="tb4fn5"/>
      <w:r w:rsidRPr="00480E93">
        <w:rPr>
          <w:rStyle w:val="Label"/>
          <w:vertAlign w:val="superscript"/>
        </w:rPr>
        <w:t>6</w:t>
      </w:r>
      <w:bookmarkEnd w:id="66"/>
      <w:r>
        <w:t>∆DiHS-oS (∆HexUAα1–4GlcNAc): 2-acetamido-2-deoxy-4-O-(4-deoxy-a-L-threo-hex-4-nopyranosyluronic acid) -D-glucose</w:t>
      </w:r>
    </w:p>
    <w:p w14:paraId="2C4D6044" w14:textId="4D9080F7" w:rsidR="0085140E" w:rsidRPr="00754048" w:rsidRDefault="0085140E" w:rsidP="00754048">
      <w:pPr>
        <w:pStyle w:val="TableCaption"/>
      </w:pPr>
      <w:bookmarkStart w:id="67" w:name="tb5"/>
      <w:r>
        <w:rPr>
          <w:rStyle w:val="Label"/>
          <w:color w:val="0000FF"/>
        </w:rPr>
        <w:t>Table 5.</w:t>
      </w:r>
      <w:bookmarkEnd w:id="67"/>
      <w:r>
        <w:t xml:space="preserve"> ACMG/AMP guideline scoring of identified CHST6 variants</w:t>
      </w:r>
      <w:r w:rsidR="00754048" w:rsidRPr="00754048">
        <w:t>.</w:t>
      </w:r>
    </w:p>
    <w:tbl>
      <w:tblPr>
        <w:tblW w:w="5000" w:type="pct"/>
        <w:jc w:val="center"/>
        <w:tblCellMar>
          <w:left w:w="0" w:type="dxa"/>
          <w:right w:w="0" w:type="dxa"/>
        </w:tblCellMar>
        <w:tblLook w:val="0600" w:firstRow="0" w:lastRow="0" w:firstColumn="0" w:lastColumn="0" w:noHBand="1" w:noVBand="1"/>
      </w:tblPr>
      <w:tblGrid>
        <w:gridCol w:w="2307"/>
        <w:gridCol w:w="3024"/>
        <w:gridCol w:w="1779"/>
        <w:gridCol w:w="1245"/>
        <w:gridCol w:w="887"/>
        <w:gridCol w:w="1523"/>
      </w:tblGrid>
      <w:tr w:rsidR="0085140E" w:rsidRPr="00FB7CC4" w14:paraId="7D735B31" w14:textId="77777777" w:rsidTr="00754048">
        <w:trPr>
          <w:trHeight w:val="19"/>
          <w:jc w:val="center"/>
        </w:trPr>
        <w:tc>
          <w:tcPr>
            <w:tcW w:w="1073"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2718D1BD" w14:textId="77777777" w:rsidR="00FE50C9" w:rsidRDefault="0085140E" w:rsidP="00B002A0">
            <w:pPr>
              <w:jc w:val="center"/>
              <w:textAlignment w:val="center"/>
              <w:rPr>
                <w:rFonts w:ascii="Arial" w:hAnsi="Arial" w:cs="Arial"/>
                <w:b/>
                <w:kern w:val="24"/>
                <w:sz w:val="20"/>
                <w:szCs w:val="20"/>
              </w:rPr>
            </w:pPr>
            <w:r>
              <w:rPr>
                <w:rFonts w:ascii="Arial" w:hAnsi="Arial" w:cs="Arial"/>
                <w:b/>
                <w:kern w:val="24"/>
                <w:sz w:val="20"/>
                <w:szCs w:val="20"/>
              </w:rPr>
              <w:t>Identified</w:t>
            </w:r>
          </w:p>
          <w:p w14:paraId="61EB1E39" w14:textId="6BB8AEDA" w:rsidR="0085140E" w:rsidRPr="00FB7CC4" w:rsidRDefault="0085140E" w:rsidP="00B002A0">
            <w:pPr>
              <w:jc w:val="center"/>
              <w:textAlignment w:val="center"/>
              <w:rPr>
                <w:rFonts w:ascii="Arial" w:hAnsi="Arial" w:cs="Arial"/>
                <w:b/>
                <w:sz w:val="20"/>
                <w:szCs w:val="20"/>
              </w:rPr>
            </w:pPr>
            <w:r>
              <w:rPr>
                <w:rFonts w:ascii="Arial" w:hAnsi="Arial" w:cs="Arial"/>
                <w:b/>
                <w:i/>
                <w:kern w:val="24"/>
                <w:sz w:val="20"/>
                <w:szCs w:val="20"/>
              </w:rPr>
              <w:t>CHST6</w:t>
            </w:r>
            <w:r>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D9D9D9"/>
          </w:tcPr>
          <w:p w14:paraId="13F36CB7" w14:textId="77777777" w:rsidR="0085140E" w:rsidRPr="00FB7CC4" w:rsidRDefault="0085140E" w:rsidP="00B002A0">
            <w:pPr>
              <w:jc w:val="center"/>
              <w:textAlignment w:val="center"/>
              <w:rPr>
                <w:rFonts w:ascii="Arial" w:hAnsi="Arial" w:cs="Arial"/>
                <w:b/>
                <w:kern w:val="24"/>
                <w:sz w:val="20"/>
                <w:szCs w:val="20"/>
              </w:rPr>
            </w:pPr>
            <w:r>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D9D9D9"/>
          </w:tcPr>
          <w:p w14:paraId="65C40EF0" w14:textId="77777777" w:rsidR="0085140E" w:rsidRPr="00FB7CC4" w:rsidRDefault="0085140E" w:rsidP="00B002A0">
            <w:pPr>
              <w:jc w:val="center"/>
              <w:textAlignment w:val="center"/>
              <w:rPr>
                <w:rFonts w:ascii="Arial" w:hAnsi="Arial" w:cs="Arial"/>
                <w:b/>
                <w:kern w:val="24"/>
                <w:sz w:val="20"/>
                <w:szCs w:val="20"/>
              </w:rPr>
            </w:pPr>
            <w:r>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D9D9D9"/>
          </w:tcPr>
          <w:p w14:paraId="52F4FF20" w14:textId="16C9D618" w:rsidR="0085140E" w:rsidRPr="00480E93" w:rsidRDefault="0085140E" w:rsidP="00B002A0">
            <w:pPr>
              <w:jc w:val="center"/>
              <w:textAlignment w:val="center"/>
            </w:pPr>
            <w:r>
              <w:rPr>
                <w:rFonts w:ascii="Arial" w:hAnsi="Arial" w:cs="Arial"/>
                <w:b/>
                <w:kern w:val="24"/>
                <w:sz w:val="20"/>
                <w:szCs w:val="20"/>
              </w:rPr>
              <w:t xml:space="preserve">Combined </w:t>
            </w:r>
            <w:r>
              <w:rPr>
                <w:rFonts w:ascii="Arial" w:hAnsi="Arial" w:cs="Arial"/>
                <w:b/>
                <w:i/>
                <w:kern w:val="24"/>
                <w:sz w:val="20"/>
                <w:szCs w:val="20"/>
              </w:rPr>
              <w:t>OddsPath</w:t>
            </w:r>
            <w:hyperlink w:anchor="bib1" w:history="1">
              <w:r w:rsidRPr="00480E93">
                <w:rPr>
                  <w:rStyle w:val="Hyperlink"/>
                  <w:rFonts w:ascii="Arial" w:hAnsi="Arial" w:cs="Arial"/>
                  <w:bCs/>
                  <w:iCs/>
                  <w:kern w:val="24"/>
                  <w:sz w:val="20"/>
                  <w:szCs w:val="20"/>
                  <w:vertAlign w:val="superscript"/>
                </w:rPr>
                <w:t>1</w:t>
              </w:r>
            </w:hyperlink>
          </w:p>
        </w:tc>
        <w:tc>
          <w:tcPr>
            <w:tcW w:w="413" w:type="pct"/>
            <w:tcBorders>
              <w:top w:val="single" w:sz="12" w:space="0" w:color="auto"/>
              <w:bottom w:val="single" w:sz="12" w:space="0" w:color="auto"/>
            </w:tcBorders>
            <w:shd w:val="clear" w:color="auto" w:fill="D9D9D9"/>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Pr>
                <w:rFonts w:ascii="Arial" w:hAnsi="Arial" w:cs="Arial"/>
                <w:bCs/>
                <w:kern w:val="24"/>
                <w:sz w:val="20"/>
                <w:szCs w:val="20"/>
              </w:rPr>
              <w:t xml:space="preserve">c.803A&gt;G, </w:t>
            </w:r>
            <w:r>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Pr>
                <w:rFonts w:ascii="Arial" w:hAnsi="Arial" w:cs="Arial"/>
                <w:bCs/>
                <w:kern w:val="24"/>
                <w:sz w:val="20"/>
                <w:szCs w:val="20"/>
              </w:rPr>
              <w:t>c.839C&gt;T,</w:t>
            </w:r>
            <w:r>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Pathogenic</w:t>
            </w:r>
          </w:p>
        </w:tc>
      </w:tr>
    </w:tbl>
    <w:p w14:paraId="042899F8" w14:textId="77777777" w:rsidR="005B70D5" w:rsidRDefault="0085140E" w:rsidP="00754048">
      <w:pPr>
        <w:pStyle w:val="TableFootnote"/>
      </w:pPr>
      <w:bookmarkStart w:id="68" w:name="tb5fn1"/>
      <w:r w:rsidRPr="00480E93">
        <w:rPr>
          <w:rStyle w:val="Label"/>
          <w:vertAlign w:val="superscript"/>
        </w:rPr>
        <w:t>1</w:t>
      </w:r>
      <w:bookmarkEnd w:id="68"/>
      <w:r>
        <w:rPr>
          <w:lang w:eastAsia="zh-CN"/>
        </w:rPr>
        <w:t>OddsPath ratio cut-off values for Supporting, Moderate, Strong, and Very Strong pathogenic evidence are 2, 4.3, 18.7, and 350, respectively</w:t>
      </w:r>
      <w:r>
        <w:rPr>
          <w:noProof/>
          <w:vertAlign w:val="superscript"/>
          <w:lang w:eastAsia="zh-CN"/>
        </w:rPr>
        <w:t>13</w:t>
      </w:r>
    </w:p>
    <w:p w14:paraId="24A780F5" w14:textId="77777777" w:rsidR="005B70D5" w:rsidRDefault="005B70D5" w:rsidP="007B3323">
      <w:pPr>
        <w:spacing w:line="480" w:lineRule="auto"/>
      </w:pPr>
    </w:p>
    <w:p w14:paraId="7569559F" w14:textId="45E127F5" w:rsidR="00FE50C9" w:rsidRDefault="00FE50C9" w:rsidP="00FE50C9"/>
    <w:p w14:paraId="40DB46A8" w14:textId="77777777" w:rsidR="00CD0150" w:rsidRDefault="00CD0150" w:rsidP="00FE50C9"/>
    <w:p w14:paraId="53AAA460" w14:textId="329E9E46" w:rsidR="00125368" w:rsidRPr="001204AA" w:rsidRDefault="00125368" w:rsidP="00A82B76"/>
    <w:sectPr w:rsidR="00125368" w:rsidRPr="001204AA" w:rsidSect="00FE50C9">
      <w:headerReference w:type="default" r:id="rId13"/>
      <w:type w:val="continuous"/>
      <w:pgSz w:w="11907" w:h="16839"/>
      <w:pgMar w:top="1440" w:right="660" w:bottom="1440" w:left="6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reEdit Tool" w:initials="">
    <w:p w14:paraId="133D44C1" w14:textId="77777777" w:rsidR="00B26AD4" w:rsidRDefault="004D6C60">
      <w:r>
        <w:t>CE: Anthony J. Aldave not found in json file. Please Check in attached html file.</w:t>
      </w:r>
    </w:p>
  </w:comment>
  <w:comment w:id="39" w:author="Chitransh Verma" w:date="2025-08-10T16:52:00Z" w:initials="CV">
    <w:p w14:paraId="034D86B3" w14:textId="21F8A3E3" w:rsidR="00480E93" w:rsidRDefault="00480E93">
      <w:pPr>
        <w:pStyle w:val="CommentText"/>
      </w:pPr>
      <w:r>
        <w:rPr>
          <w:rStyle w:val="CommentReference"/>
        </w:rPr>
        <w:annotationRef/>
      </w:r>
      <w:r>
        <w:t>Run-on table footnotes found in file, Power-Edit separate them. Please check for any correctness.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3D44C1" w15:done="0"/>
  <w15:commentEx w15:paraId="034D86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8249DF" w16cex:dateUtc="2025-08-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3D44C1" w16cid:durableId="133D44C1"/>
  <w16cid:commentId w16cid:paraId="034D86B3" w16cid:durableId="668249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25CBE" w14:textId="77777777" w:rsidR="00036C7E" w:rsidRDefault="00036C7E" w:rsidP="00E0208D">
      <w:r>
        <w:separator/>
      </w:r>
    </w:p>
  </w:endnote>
  <w:endnote w:type="continuationSeparator" w:id="0">
    <w:p w14:paraId="3446E54B" w14:textId="77777777" w:rsidR="00036C7E" w:rsidRDefault="00036C7E"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D0C4F" w14:textId="77777777" w:rsidR="00036C7E" w:rsidRDefault="00036C7E" w:rsidP="00E0208D">
      <w:r>
        <w:separator/>
      </w:r>
    </w:p>
  </w:footnote>
  <w:footnote w:type="continuationSeparator" w:id="0">
    <w:p w14:paraId="5CA2C203" w14:textId="77777777" w:rsidR="00036C7E" w:rsidRDefault="00036C7E"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t xml:space="preserve">Peripheral </w:t>
    </w:r>
    <w:r w:rsidR="00584462">
      <w:rPr>
        <w:rFonts w:ascii="Arial" w:hAnsi="Arial" w:cs="Arial"/>
      </w:rPr>
      <w:t>m</w:t>
    </w:r>
    <w:r>
      <w:rPr>
        <w:rFonts w:ascii="Arial" w:hAnsi="Arial" w:cs="Arial"/>
      </w:rPr>
      <w:t xml:space="preserve">acular </w:t>
    </w:r>
    <w:r w:rsidR="00584462">
      <w:rPr>
        <w:rFonts w:ascii="Arial" w:hAnsi="Arial" w:cs="Arial"/>
      </w:rPr>
      <w:t>e</w:t>
    </w:r>
    <w:r>
      <w:rPr>
        <w:rFonts w:ascii="Arial" w:hAnsi="Arial" w:cs="Arial"/>
      </w:rPr>
      <w:t xml:space="preserve">ndothelial </w:t>
    </w:r>
    <w:r w:rsidR="00584462">
      <w:rPr>
        <w:rFonts w:ascii="Arial" w:hAnsi="Arial" w:cs="Arial"/>
      </w:rPr>
      <w:t>d</w:t>
    </w:r>
    <w:r>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activeWritingStyle w:appName="MSWord" w:lang="fr-FR" w:vendorID="64" w:dllVersion="4096" w:nlCheck="1" w:checkStyle="0"/>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36C7E"/>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04AA"/>
    <w:rsid w:val="00121B23"/>
    <w:rsid w:val="001232BA"/>
    <w:rsid w:val="001233DC"/>
    <w:rsid w:val="001242D1"/>
    <w:rsid w:val="0012525E"/>
    <w:rsid w:val="00125368"/>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14E"/>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39"/>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BA6"/>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137"/>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12C"/>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05C"/>
    <w:rsid w:val="00291549"/>
    <w:rsid w:val="0029215F"/>
    <w:rsid w:val="00292835"/>
    <w:rsid w:val="0029374F"/>
    <w:rsid w:val="00294A74"/>
    <w:rsid w:val="00295DC1"/>
    <w:rsid w:val="00295FC8"/>
    <w:rsid w:val="00296115"/>
    <w:rsid w:val="00297610"/>
    <w:rsid w:val="00297E03"/>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58C9"/>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36"/>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3B13"/>
    <w:rsid w:val="00357C73"/>
    <w:rsid w:val="00362473"/>
    <w:rsid w:val="00362638"/>
    <w:rsid w:val="00362A73"/>
    <w:rsid w:val="00363157"/>
    <w:rsid w:val="00364B57"/>
    <w:rsid w:val="00365FE2"/>
    <w:rsid w:val="0037113C"/>
    <w:rsid w:val="003714D7"/>
    <w:rsid w:val="00371CC1"/>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0E93"/>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4E6"/>
    <w:rsid w:val="004D66C9"/>
    <w:rsid w:val="004D6C60"/>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60D"/>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5AE"/>
    <w:rsid w:val="005627E8"/>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239"/>
    <w:rsid w:val="005A653E"/>
    <w:rsid w:val="005A6AFB"/>
    <w:rsid w:val="005A7D24"/>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0D5"/>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3AEB"/>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DB"/>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048"/>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9C4"/>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2455"/>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6A5C"/>
    <w:rsid w:val="0082721D"/>
    <w:rsid w:val="00827BAC"/>
    <w:rsid w:val="0083033B"/>
    <w:rsid w:val="0083140F"/>
    <w:rsid w:val="008341CB"/>
    <w:rsid w:val="00834B74"/>
    <w:rsid w:val="00834CBE"/>
    <w:rsid w:val="008354E4"/>
    <w:rsid w:val="00835CCE"/>
    <w:rsid w:val="00836FDB"/>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2CE3"/>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44BA"/>
    <w:rsid w:val="00A0548B"/>
    <w:rsid w:val="00A0771C"/>
    <w:rsid w:val="00A10269"/>
    <w:rsid w:val="00A10973"/>
    <w:rsid w:val="00A11272"/>
    <w:rsid w:val="00A113A3"/>
    <w:rsid w:val="00A11C65"/>
    <w:rsid w:val="00A12366"/>
    <w:rsid w:val="00A13961"/>
    <w:rsid w:val="00A14613"/>
    <w:rsid w:val="00A14AB9"/>
    <w:rsid w:val="00A159F3"/>
    <w:rsid w:val="00A16465"/>
    <w:rsid w:val="00A16682"/>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237"/>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2B76"/>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746"/>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6AD4"/>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0AA8"/>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E6A81"/>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0E0C"/>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1C49"/>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150"/>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2E6"/>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245E"/>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65DB5"/>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0637"/>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77D22"/>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A8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644C"/>
    <w:rsid w:val="00FD77BD"/>
    <w:rsid w:val="00FD7F57"/>
    <w:rsid w:val="00FE047C"/>
    <w:rsid w:val="00FE09B4"/>
    <w:rsid w:val="00FE26FB"/>
    <w:rsid w:val="00FE281E"/>
    <w:rsid w:val="00FE3339"/>
    <w:rsid w:val="00FE50C9"/>
    <w:rsid w:val="00FE7531"/>
    <w:rsid w:val="00FE79B8"/>
    <w:rsid w:val="00FF0D3F"/>
    <w:rsid w:val="00FF305D"/>
    <w:rsid w:val="00FF3344"/>
    <w:rsid w:val="00FF6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03"/>
    <w:pPr>
      <w:spacing w:after="160" w:line="278" w:lineRule="auto"/>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29105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9105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9105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9105C"/>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29105C"/>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29105C"/>
    <w:pPr>
      <w:keepNext/>
      <w:numPr>
        <w:ilvl w:val="5"/>
        <w:numId w:val="1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29105C"/>
    <w:pPr>
      <w:keepNext/>
      <w:numPr>
        <w:ilvl w:val="6"/>
        <w:numId w:val="1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29105C"/>
    <w:pPr>
      <w:keepNext/>
      <w:numPr>
        <w:ilvl w:val="7"/>
        <w:numId w:val="1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29105C"/>
    <w:pPr>
      <w:keepNext/>
      <w:numPr>
        <w:ilvl w:val="8"/>
        <w:numId w:val="1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297E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E03"/>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29105C"/>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2910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105C"/>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29105C"/>
    <w:rPr>
      <w:vertAlign w:val="superscript"/>
    </w:rPr>
  </w:style>
  <w:style w:type="character" w:styleId="CommentReference">
    <w:name w:val="annotation reference"/>
    <w:basedOn w:val="DefaultParagraphFont"/>
    <w:semiHidden/>
    <w:rsid w:val="0029105C"/>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29105C"/>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29105C"/>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29105C"/>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29105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29105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29105C"/>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29105C"/>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29105C"/>
    <w:rPr>
      <w:color w:val="954F72" w:themeColor="followedHyperlink"/>
      <w:u w:val="single"/>
    </w:rPr>
  </w:style>
  <w:style w:type="character" w:customStyle="1" w:styleId="Heading2Char">
    <w:name w:val="Heading 2 Char"/>
    <w:basedOn w:val="DefaultParagraphFont"/>
    <w:link w:val="Heading2"/>
    <w:uiPriority w:val="9"/>
    <w:rsid w:val="0029105C"/>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29105C"/>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29105C"/>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29105C"/>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29105C"/>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29105C"/>
    <w:rPr>
      <w:rFonts w:asciiTheme="minorHAnsi" w:eastAsia="Times New Roman" w:hAnsiTheme="minorHAnsi" w:cs="Arial"/>
      <w:i/>
      <w:sz w:val="24"/>
      <w:szCs w:val="22"/>
      <w:lang w:val="en-GB" w:eastAsia="en-US" w:bidi="ar-DZ"/>
    </w:rPr>
  </w:style>
  <w:style w:type="paragraph" w:customStyle="1" w:styleId="Abstract">
    <w:name w:val="Abstract"/>
    <w:qFormat/>
    <w:rsid w:val="0029105C"/>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29105C"/>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29105C"/>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29105C"/>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29105C"/>
    <w:rPr>
      <w:vertAlign w:val="superscript"/>
    </w:rPr>
  </w:style>
  <w:style w:type="paragraph" w:customStyle="1" w:styleId="Head1">
    <w:name w:val="Head1"/>
    <w:rsid w:val="0029105C"/>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29105C"/>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29105C"/>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29105C"/>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29105C"/>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29105C"/>
    <w:rPr>
      <w:color w:val="ED7D31" w:themeColor="accent2"/>
    </w:rPr>
  </w:style>
  <w:style w:type="paragraph" w:customStyle="1" w:styleId="Titledocument">
    <w:name w:val="Title_document"/>
    <w:autoRedefine/>
    <w:qFormat/>
    <w:rsid w:val="0029105C"/>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29105C"/>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29105C"/>
    <w:rPr>
      <w:color w:val="auto"/>
      <w:bdr w:val="none" w:sz="0" w:space="0" w:color="auto"/>
      <w:shd w:val="clear" w:color="auto" w:fill="FFFF49"/>
    </w:rPr>
  </w:style>
  <w:style w:type="paragraph" w:customStyle="1" w:styleId="RectoRRH">
    <w:name w:val="Recto_(RRH)"/>
    <w:autoRedefine/>
    <w:qFormat/>
    <w:rsid w:val="0029105C"/>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29105C"/>
    <w:rPr>
      <w:color w:val="auto"/>
      <w:bdr w:val="none" w:sz="0" w:space="0" w:color="auto"/>
      <w:shd w:val="clear" w:color="auto" w:fill="FF3300"/>
    </w:rPr>
  </w:style>
  <w:style w:type="paragraph" w:customStyle="1" w:styleId="VersoLRH">
    <w:name w:val="Verso_(LRH)"/>
    <w:autoRedefine/>
    <w:qFormat/>
    <w:rsid w:val="0029105C"/>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29105C"/>
    <w:rPr>
      <w:color w:val="auto"/>
      <w:bdr w:val="none" w:sz="0" w:space="0" w:color="auto"/>
      <w:shd w:val="clear" w:color="auto" w:fill="FFCC66"/>
    </w:rPr>
  </w:style>
  <w:style w:type="character" w:customStyle="1" w:styleId="Pages">
    <w:name w:val="Pages"/>
    <w:basedOn w:val="DefaultParagraphFont"/>
    <w:uiPriority w:val="1"/>
    <w:qFormat/>
    <w:rsid w:val="0029105C"/>
    <w:rPr>
      <w:color w:val="auto"/>
      <w:bdr w:val="none" w:sz="0" w:space="0" w:color="auto"/>
      <w:shd w:val="clear" w:color="auto" w:fill="D279FF"/>
    </w:rPr>
  </w:style>
  <w:style w:type="character" w:customStyle="1" w:styleId="Degree">
    <w:name w:val="Degree"/>
    <w:basedOn w:val="DefaultParagraphFont"/>
    <w:uiPriority w:val="1"/>
    <w:qFormat/>
    <w:rsid w:val="0029105C"/>
    <w:rPr>
      <w:color w:val="auto"/>
      <w:bdr w:val="none" w:sz="0" w:space="0" w:color="auto"/>
      <w:shd w:val="clear" w:color="auto" w:fill="00C400"/>
    </w:rPr>
  </w:style>
  <w:style w:type="character" w:customStyle="1" w:styleId="Role">
    <w:name w:val="Role"/>
    <w:basedOn w:val="DefaultParagraphFont"/>
    <w:uiPriority w:val="1"/>
    <w:qFormat/>
    <w:rsid w:val="0029105C"/>
    <w:rPr>
      <w:color w:val="92D050"/>
    </w:rPr>
  </w:style>
  <w:style w:type="paragraph" w:customStyle="1" w:styleId="AbsHead">
    <w:name w:val="AbsHead"/>
    <w:link w:val="AbsHeadChar"/>
    <w:autoRedefine/>
    <w:qFormat/>
    <w:rsid w:val="0029105C"/>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29105C"/>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29105C"/>
    <w:rPr>
      <w:color w:val="FF0000"/>
    </w:rPr>
  </w:style>
  <w:style w:type="paragraph" w:customStyle="1" w:styleId="AckHead">
    <w:name w:val="AckHead"/>
    <w:link w:val="AckHeadChar"/>
    <w:autoRedefine/>
    <w:qFormat/>
    <w:rsid w:val="0029105C"/>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29105C"/>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29105C"/>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29105C"/>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29105C"/>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29105C"/>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29105C"/>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29105C"/>
    <w:rPr>
      <w:color w:val="auto"/>
      <w:bdr w:val="none" w:sz="0" w:space="0" w:color="auto"/>
      <w:shd w:val="clear" w:color="auto" w:fill="CCCCFF"/>
    </w:rPr>
  </w:style>
  <w:style w:type="paragraph" w:customStyle="1" w:styleId="AuthNotes">
    <w:name w:val="AuthNotes"/>
    <w:qFormat/>
    <w:rsid w:val="0029105C"/>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29105C"/>
    <w:rPr>
      <w:color w:val="FFC000" w:themeColor="accent4"/>
    </w:rPr>
  </w:style>
  <w:style w:type="paragraph" w:customStyle="1" w:styleId="Authors">
    <w:name w:val="Authors"/>
    <w:link w:val="AuthorsChar"/>
    <w:autoRedefine/>
    <w:qFormat/>
    <w:rsid w:val="0029105C"/>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29105C"/>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29105C"/>
    <w:rPr>
      <w:color w:val="auto"/>
      <w:bdr w:val="none" w:sz="0" w:space="0" w:color="auto"/>
      <w:shd w:val="clear" w:color="auto" w:fill="FFD9B3"/>
    </w:rPr>
  </w:style>
  <w:style w:type="paragraph" w:customStyle="1" w:styleId="BoxText">
    <w:name w:val="BoxText"/>
    <w:qFormat/>
    <w:rsid w:val="0029105C"/>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29105C"/>
    <w:rPr>
      <w:rFonts w:asciiTheme="majorHAnsi" w:hAnsiTheme="majorHAnsi" w:cs="Times New Roman"/>
    </w:rPr>
  </w:style>
  <w:style w:type="character" w:customStyle="1" w:styleId="City">
    <w:name w:val="City"/>
    <w:basedOn w:val="DefaultParagraphFont"/>
    <w:uiPriority w:val="1"/>
    <w:qFormat/>
    <w:rsid w:val="0029105C"/>
    <w:rPr>
      <w:color w:val="auto"/>
      <w:bdr w:val="none" w:sz="0" w:space="0" w:color="auto"/>
      <w:shd w:val="clear" w:color="auto" w:fill="66FFFF"/>
    </w:rPr>
  </w:style>
  <w:style w:type="character" w:customStyle="1" w:styleId="Collab">
    <w:name w:val="Collab"/>
    <w:basedOn w:val="DefaultParagraphFont"/>
    <w:uiPriority w:val="1"/>
    <w:qFormat/>
    <w:rsid w:val="0029105C"/>
    <w:rPr>
      <w:color w:val="auto"/>
      <w:bdr w:val="none" w:sz="0" w:space="0" w:color="auto"/>
      <w:shd w:val="clear" w:color="auto" w:fill="5F5F5F"/>
    </w:rPr>
  </w:style>
  <w:style w:type="character" w:customStyle="1" w:styleId="ConfDate">
    <w:name w:val="ConfDate"/>
    <w:basedOn w:val="DefaultParagraphFont"/>
    <w:uiPriority w:val="1"/>
    <w:rsid w:val="0029105C"/>
    <w:rPr>
      <w:rFonts w:ascii="Times New Roman" w:hAnsi="Times New Roman"/>
      <w:color w:val="FF0066"/>
      <w:sz w:val="20"/>
    </w:rPr>
  </w:style>
  <w:style w:type="character" w:customStyle="1" w:styleId="ConfLoc">
    <w:name w:val="ConfLoc"/>
    <w:basedOn w:val="DefaultParagraphFont"/>
    <w:uiPriority w:val="1"/>
    <w:rsid w:val="0029105C"/>
    <w:rPr>
      <w:color w:val="003300"/>
      <w:bdr w:val="none" w:sz="0" w:space="0" w:color="auto"/>
      <w:shd w:val="clear" w:color="auto" w:fill="9999FF"/>
    </w:rPr>
  </w:style>
  <w:style w:type="character" w:customStyle="1" w:styleId="ConfName">
    <w:name w:val="ConfName"/>
    <w:basedOn w:val="DefaultParagraphFont"/>
    <w:uiPriority w:val="1"/>
    <w:qFormat/>
    <w:rsid w:val="0029105C"/>
    <w:rPr>
      <w:color w:val="15BDBD"/>
    </w:rPr>
  </w:style>
  <w:style w:type="paragraph" w:customStyle="1" w:styleId="Correspondence">
    <w:name w:val="Correspondence"/>
    <w:basedOn w:val="Normal"/>
    <w:link w:val="CorrespondenceChar"/>
    <w:autoRedefine/>
    <w:qFormat/>
    <w:rsid w:val="0029105C"/>
    <w:rPr>
      <w:color w:val="1F4E79" w:themeColor="accent5" w:themeShade="80"/>
    </w:rPr>
  </w:style>
  <w:style w:type="character" w:customStyle="1" w:styleId="CorrespondenceChar">
    <w:name w:val="Correspondence Char"/>
    <w:basedOn w:val="DefaultParagraphFont"/>
    <w:link w:val="Correspondence"/>
    <w:rsid w:val="0029105C"/>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29105C"/>
    <w:rPr>
      <w:color w:val="auto"/>
      <w:bdr w:val="none" w:sz="0" w:space="0" w:color="auto"/>
      <w:shd w:val="clear" w:color="auto" w:fill="00A5E0"/>
    </w:rPr>
  </w:style>
  <w:style w:type="paragraph" w:customStyle="1" w:styleId="DefItem">
    <w:name w:val="DefItem"/>
    <w:basedOn w:val="Normal"/>
    <w:autoRedefine/>
    <w:qFormat/>
    <w:rsid w:val="0029105C"/>
    <w:pPr>
      <w:spacing w:after="80"/>
      <w:ind w:left="720"/>
    </w:pPr>
    <w:rPr>
      <w:color w:val="833C0B" w:themeColor="accent2" w:themeShade="80"/>
    </w:rPr>
  </w:style>
  <w:style w:type="paragraph" w:customStyle="1" w:styleId="DisplayFormula">
    <w:name w:val="DisplayFormula"/>
    <w:basedOn w:val="Normal"/>
    <w:link w:val="DisplayFormulaChar"/>
    <w:qFormat/>
    <w:rsid w:val="0029105C"/>
    <w:pPr>
      <w:ind w:left="720"/>
    </w:pPr>
    <w:rPr>
      <w:color w:val="833C0B" w:themeColor="accent2" w:themeShade="80"/>
    </w:rPr>
  </w:style>
  <w:style w:type="character" w:customStyle="1" w:styleId="DisplayFormulaChar">
    <w:name w:val="DisplayFormula Char"/>
    <w:basedOn w:val="DefaultParagraphFont"/>
    <w:link w:val="DisplayFormula"/>
    <w:rsid w:val="0029105C"/>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29105C"/>
    <w:rPr>
      <w:color w:val="auto"/>
      <w:bdr w:val="none" w:sz="0" w:space="0" w:color="auto"/>
      <w:shd w:val="clear" w:color="auto" w:fill="FFD1E8"/>
    </w:rPr>
  </w:style>
  <w:style w:type="character" w:customStyle="1" w:styleId="Edition">
    <w:name w:val="Edition"/>
    <w:basedOn w:val="DefaultParagraphFont"/>
    <w:uiPriority w:val="1"/>
    <w:qFormat/>
    <w:rsid w:val="0029105C"/>
    <w:rPr>
      <w:color w:val="auto"/>
      <w:bdr w:val="none" w:sz="0" w:space="0" w:color="auto"/>
      <w:shd w:val="clear" w:color="auto" w:fill="9999FF"/>
    </w:rPr>
  </w:style>
  <w:style w:type="character" w:customStyle="1" w:styleId="EdSurname">
    <w:name w:val="EdSurname"/>
    <w:basedOn w:val="DefaultParagraphFont"/>
    <w:uiPriority w:val="1"/>
    <w:qFormat/>
    <w:rsid w:val="0029105C"/>
    <w:rPr>
      <w:color w:val="auto"/>
      <w:bdr w:val="none" w:sz="0" w:space="0" w:color="auto"/>
      <w:shd w:val="clear" w:color="auto" w:fill="FF95CA"/>
    </w:rPr>
  </w:style>
  <w:style w:type="character" w:customStyle="1" w:styleId="Email">
    <w:name w:val="Email"/>
    <w:basedOn w:val="DefaultParagraphFont"/>
    <w:uiPriority w:val="1"/>
    <w:qFormat/>
    <w:rsid w:val="0029105C"/>
    <w:rPr>
      <w:color w:val="0808B8"/>
    </w:rPr>
  </w:style>
  <w:style w:type="character" w:customStyle="1" w:styleId="Fax">
    <w:name w:val="Fax"/>
    <w:basedOn w:val="DefaultParagraphFont"/>
    <w:uiPriority w:val="1"/>
    <w:qFormat/>
    <w:rsid w:val="0029105C"/>
    <w:rPr>
      <w:color w:val="C00000"/>
    </w:rPr>
  </w:style>
  <w:style w:type="paragraph" w:customStyle="1" w:styleId="FigNote">
    <w:name w:val="FigNote"/>
    <w:basedOn w:val="TableFootnote"/>
    <w:qFormat/>
    <w:rsid w:val="0029105C"/>
  </w:style>
  <w:style w:type="paragraph" w:customStyle="1" w:styleId="FigureCaption">
    <w:name w:val="FigureCaption"/>
    <w:link w:val="FigureCaptionChar"/>
    <w:autoRedefine/>
    <w:qFormat/>
    <w:rsid w:val="0029105C"/>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29105C"/>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29105C"/>
    <w:rPr>
      <w:color w:val="auto"/>
      <w:bdr w:val="none" w:sz="0" w:space="0" w:color="auto"/>
      <w:shd w:val="clear" w:color="auto" w:fill="DDDDDD"/>
    </w:rPr>
  </w:style>
  <w:style w:type="character" w:customStyle="1" w:styleId="focus">
    <w:name w:val="focus"/>
    <w:basedOn w:val="DefaultParagraphFont"/>
    <w:rsid w:val="0029105C"/>
  </w:style>
  <w:style w:type="paragraph" w:customStyle="1" w:styleId="GlossaryHead">
    <w:name w:val="GlossaryHead"/>
    <w:basedOn w:val="Head1"/>
    <w:qFormat/>
    <w:rsid w:val="0029105C"/>
    <w:rPr>
      <w:rFonts w:asciiTheme="majorHAnsi" w:hAnsiTheme="majorHAnsi"/>
      <w:color w:val="C45911" w:themeColor="accent2" w:themeShade="BF"/>
      <w:sz w:val="28"/>
    </w:rPr>
  </w:style>
  <w:style w:type="character" w:customStyle="1" w:styleId="Issue">
    <w:name w:val="Issue"/>
    <w:basedOn w:val="DefaultParagraphFont"/>
    <w:uiPriority w:val="1"/>
    <w:qFormat/>
    <w:rsid w:val="0029105C"/>
    <w:rPr>
      <w:color w:val="auto"/>
      <w:bdr w:val="none" w:sz="0" w:space="0" w:color="auto"/>
      <w:shd w:val="clear" w:color="auto" w:fill="C8BE84"/>
    </w:rPr>
  </w:style>
  <w:style w:type="character" w:customStyle="1" w:styleId="JournalTitle">
    <w:name w:val="JournalTitle"/>
    <w:basedOn w:val="DefaultParagraphFont"/>
    <w:uiPriority w:val="1"/>
    <w:qFormat/>
    <w:rsid w:val="0029105C"/>
    <w:rPr>
      <w:color w:val="auto"/>
      <w:bdr w:val="none" w:sz="0" w:space="0" w:color="auto"/>
      <w:shd w:val="clear" w:color="auto" w:fill="CCFF99"/>
    </w:rPr>
  </w:style>
  <w:style w:type="paragraph" w:customStyle="1" w:styleId="KeyWordHead">
    <w:name w:val="KeyWordHead"/>
    <w:basedOn w:val="Normal"/>
    <w:autoRedefine/>
    <w:qFormat/>
    <w:rsid w:val="0029105C"/>
    <w:rPr>
      <w:color w:val="4472C4" w:themeColor="accent1"/>
      <w:sz w:val="28"/>
    </w:rPr>
  </w:style>
  <w:style w:type="paragraph" w:customStyle="1" w:styleId="KeyWords">
    <w:name w:val="KeyWords"/>
    <w:basedOn w:val="Normal"/>
    <w:qFormat/>
    <w:rsid w:val="0029105C"/>
    <w:pPr>
      <w:ind w:left="720"/>
    </w:pPr>
    <w:rPr>
      <w:color w:val="1F3864" w:themeColor="accent1" w:themeShade="80"/>
      <w:sz w:val="20"/>
    </w:rPr>
  </w:style>
  <w:style w:type="character" w:customStyle="1" w:styleId="Label">
    <w:name w:val="Label"/>
    <w:basedOn w:val="DefaultParagraphFont"/>
    <w:uiPriority w:val="1"/>
    <w:qFormat/>
    <w:rsid w:val="0029105C"/>
    <w:rPr>
      <w:b w:val="0"/>
      <w:color w:val="0070C0"/>
    </w:rPr>
  </w:style>
  <w:style w:type="character" w:customStyle="1" w:styleId="MiscDate">
    <w:name w:val="MiscDate"/>
    <w:basedOn w:val="DefaultParagraphFont"/>
    <w:uiPriority w:val="1"/>
    <w:qFormat/>
    <w:rsid w:val="0029105C"/>
    <w:rPr>
      <w:color w:val="7030A0"/>
    </w:rPr>
  </w:style>
  <w:style w:type="character" w:customStyle="1" w:styleId="name-alternative">
    <w:name w:val="name-alternative"/>
    <w:basedOn w:val="DefaultParagraphFont"/>
    <w:uiPriority w:val="1"/>
    <w:qFormat/>
    <w:rsid w:val="0029105C"/>
    <w:rPr>
      <w:color w:val="0D0D0D" w:themeColor="text1" w:themeTint="F2"/>
    </w:rPr>
  </w:style>
  <w:style w:type="paragraph" w:customStyle="1" w:styleId="NomenclatureHead">
    <w:name w:val="NomenclatureHead"/>
    <w:basedOn w:val="Normal"/>
    <w:qFormat/>
    <w:rsid w:val="0029105C"/>
    <w:rPr>
      <w:rFonts w:asciiTheme="majorHAnsi" w:hAnsiTheme="majorHAnsi"/>
      <w:color w:val="C45911" w:themeColor="accent2" w:themeShade="BF"/>
      <w:sz w:val="28"/>
    </w:rPr>
  </w:style>
  <w:style w:type="character" w:customStyle="1" w:styleId="OrgDiv">
    <w:name w:val="OrgDiv"/>
    <w:basedOn w:val="DefaultParagraphFont"/>
    <w:uiPriority w:val="1"/>
    <w:qFormat/>
    <w:rsid w:val="0029105C"/>
    <w:rPr>
      <w:color w:val="8496B0" w:themeColor="text2" w:themeTint="99"/>
    </w:rPr>
  </w:style>
  <w:style w:type="character" w:customStyle="1" w:styleId="OrgName">
    <w:name w:val="OrgName"/>
    <w:basedOn w:val="DefaultParagraphFont"/>
    <w:uiPriority w:val="1"/>
    <w:qFormat/>
    <w:rsid w:val="0029105C"/>
    <w:rPr>
      <w:color w:val="323E4F" w:themeColor="text2" w:themeShade="BF"/>
    </w:rPr>
  </w:style>
  <w:style w:type="paragraph" w:customStyle="1" w:styleId="Para">
    <w:name w:val="Para"/>
    <w:rsid w:val="0029105C"/>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29105C"/>
    <w:rPr>
      <w:color w:val="0000FF"/>
    </w:rPr>
  </w:style>
  <w:style w:type="character" w:customStyle="1" w:styleId="Phone">
    <w:name w:val="Phone"/>
    <w:basedOn w:val="DefaultParagraphFont"/>
    <w:uiPriority w:val="1"/>
    <w:qFormat/>
    <w:rsid w:val="0029105C"/>
    <w:rPr>
      <w:color w:val="A0502C"/>
    </w:rPr>
  </w:style>
  <w:style w:type="character" w:customStyle="1" w:styleId="PinCode">
    <w:name w:val="PinCode"/>
    <w:basedOn w:val="DefaultParagraphFont"/>
    <w:uiPriority w:val="1"/>
    <w:qFormat/>
    <w:rsid w:val="0029105C"/>
    <w:rPr>
      <w:color w:val="808000"/>
    </w:rPr>
  </w:style>
  <w:style w:type="paragraph" w:customStyle="1" w:styleId="Poem">
    <w:name w:val="Poem"/>
    <w:basedOn w:val="Normal"/>
    <w:qFormat/>
    <w:rsid w:val="0029105C"/>
    <w:pPr>
      <w:spacing w:after="0"/>
      <w:ind w:left="1440"/>
    </w:pPr>
    <w:rPr>
      <w:color w:val="525252" w:themeColor="accent3" w:themeShade="80"/>
    </w:rPr>
  </w:style>
  <w:style w:type="paragraph" w:customStyle="1" w:styleId="PoemSource">
    <w:name w:val="PoemSource"/>
    <w:basedOn w:val="Normal"/>
    <w:qFormat/>
    <w:rsid w:val="0029105C"/>
    <w:pPr>
      <w:jc w:val="right"/>
    </w:pPr>
    <w:rPr>
      <w:color w:val="525252" w:themeColor="accent3" w:themeShade="80"/>
    </w:rPr>
  </w:style>
  <w:style w:type="character" w:customStyle="1" w:styleId="Prefix">
    <w:name w:val="Prefix"/>
    <w:basedOn w:val="DefaultParagraphFont"/>
    <w:uiPriority w:val="1"/>
    <w:qFormat/>
    <w:rsid w:val="0029105C"/>
    <w:rPr>
      <w:color w:val="auto"/>
      <w:bdr w:val="none" w:sz="0" w:space="0" w:color="auto"/>
      <w:shd w:val="clear" w:color="auto" w:fill="FF8633"/>
    </w:rPr>
  </w:style>
  <w:style w:type="paragraph" w:customStyle="1" w:styleId="Source">
    <w:name w:val="Source"/>
    <w:basedOn w:val="Normal"/>
    <w:qFormat/>
    <w:rsid w:val="0029105C"/>
    <w:pPr>
      <w:ind w:left="720"/>
      <w:jc w:val="right"/>
    </w:pPr>
  </w:style>
  <w:style w:type="character" w:customStyle="1" w:styleId="ReceivedDate">
    <w:name w:val="ReceivedDate"/>
    <w:basedOn w:val="DefaultParagraphFont"/>
    <w:uiPriority w:val="1"/>
    <w:qFormat/>
    <w:rsid w:val="0029105C"/>
    <w:rPr>
      <w:color w:val="00B050"/>
    </w:rPr>
  </w:style>
  <w:style w:type="paragraph" w:customStyle="1" w:styleId="ReferenceHead">
    <w:name w:val="ReferenceHead"/>
    <w:basedOn w:val="Normal"/>
    <w:autoRedefine/>
    <w:qFormat/>
    <w:rsid w:val="0029105C"/>
    <w:rPr>
      <w:color w:val="002060"/>
      <w:sz w:val="28"/>
    </w:rPr>
  </w:style>
  <w:style w:type="character" w:customStyle="1" w:styleId="RefMisc">
    <w:name w:val="RefMisc"/>
    <w:basedOn w:val="DefaultParagraphFont"/>
    <w:uiPriority w:val="1"/>
    <w:qFormat/>
    <w:rsid w:val="0029105C"/>
    <w:rPr>
      <w:color w:val="auto"/>
      <w:bdr w:val="none" w:sz="0" w:space="0" w:color="auto"/>
      <w:shd w:val="clear" w:color="auto" w:fill="FF9933"/>
    </w:rPr>
  </w:style>
  <w:style w:type="character" w:customStyle="1" w:styleId="RevisedDate">
    <w:name w:val="RevisedDate"/>
    <w:basedOn w:val="DefaultParagraphFont"/>
    <w:uiPriority w:val="1"/>
    <w:qFormat/>
    <w:rsid w:val="0029105C"/>
    <w:rPr>
      <w:color w:val="0070C0"/>
    </w:rPr>
  </w:style>
  <w:style w:type="paragraph" w:customStyle="1" w:styleId="SignatureAff">
    <w:name w:val="SignatureAff"/>
    <w:basedOn w:val="Normal"/>
    <w:qFormat/>
    <w:rsid w:val="0029105C"/>
    <w:pPr>
      <w:jc w:val="right"/>
    </w:pPr>
  </w:style>
  <w:style w:type="paragraph" w:customStyle="1" w:styleId="SignatureBlock">
    <w:name w:val="SignatureBlock"/>
    <w:basedOn w:val="Normal"/>
    <w:qFormat/>
    <w:rsid w:val="0029105C"/>
    <w:pPr>
      <w:jc w:val="right"/>
    </w:pPr>
    <w:rPr>
      <w:bdr w:val="dotted" w:sz="4" w:space="0" w:color="auto"/>
    </w:rPr>
  </w:style>
  <w:style w:type="character" w:customStyle="1" w:styleId="State">
    <w:name w:val="State"/>
    <w:basedOn w:val="DefaultParagraphFont"/>
    <w:uiPriority w:val="1"/>
    <w:qFormat/>
    <w:rsid w:val="0029105C"/>
    <w:rPr>
      <w:color w:val="A70B38"/>
    </w:rPr>
  </w:style>
  <w:style w:type="paragraph" w:customStyle="1" w:styleId="StatementItalic">
    <w:name w:val="StatementItalic"/>
    <w:basedOn w:val="Normal"/>
    <w:autoRedefine/>
    <w:qFormat/>
    <w:rsid w:val="0029105C"/>
    <w:pPr>
      <w:ind w:left="720"/>
    </w:pPr>
    <w:rPr>
      <w:i/>
      <w:sz w:val="20"/>
    </w:rPr>
  </w:style>
  <w:style w:type="paragraph" w:customStyle="1" w:styleId="Statements">
    <w:name w:val="Statements"/>
    <w:basedOn w:val="Normal"/>
    <w:qFormat/>
    <w:rsid w:val="0029105C"/>
    <w:pPr>
      <w:ind w:left="720"/>
    </w:pPr>
    <w:rPr>
      <w:sz w:val="20"/>
    </w:rPr>
  </w:style>
  <w:style w:type="character" w:customStyle="1" w:styleId="Street">
    <w:name w:val="Street"/>
    <w:basedOn w:val="DefaultParagraphFont"/>
    <w:uiPriority w:val="1"/>
    <w:qFormat/>
    <w:rsid w:val="0029105C"/>
    <w:rPr>
      <w:color w:val="auto"/>
      <w:bdr w:val="none" w:sz="0" w:space="0" w:color="auto"/>
      <w:shd w:val="clear" w:color="auto" w:fill="00CC99"/>
    </w:rPr>
  </w:style>
  <w:style w:type="character" w:styleId="Strong">
    <w:name w:val="Strong"/>
    <w:basedOn w:val="DefaultParagraphFont"/>
    <w:uiPriority w:val="22"/>
    <w:qFormat/>
    <w:rsid w:val="0029105C"/>
    <w:rPr>
      <w:b/>
      <w:bCs/>
    </w:rPr>
  </w:style>
  <w:style w:type="character" w:customStyle="1" w:styleId="Suffix">
    <w:name w:val="Suffix"/>
    <w:basedOn w:val="DefaultParagraphFont"/>
    <w:uiPriority w:val="1"/>
    <w:qFormat/>
    <w:rsid w:val="0029105C"/>
    <w:rPr>
      <w:color w:val="auto"/>
      <w:bdr w:val="none" w:sz="0" w:space="0" w:color="auto"/>
      <w:shd w:val="clear" w:color="auto" w:fill="FFA86D"/>
    </w:rPr>
  </w:style>
  <w:style w:type="character" w:customStyle="1" w:styleId="Surname">
    <w:name w:val="Surname"/>
    <w:basedOn w:val="DefaultParagraphFont"/>
    <w:uiPriority w:val="1"/>
    <w:qFormat/>
    <w:rsid w:val="0029105C"/>
    <w:rPr>
      <w:color w:val="auto"/>
      <w:bdr w:val="none" w:sz="0" w:space="0" w:color="auto"/>
      <w:shd w:val="clear" w:color="auto" w:fill="BCBCBC"/>
    </w:rPr>
  </w:style>
  <w:style w:type="paragraph" w:customStyle="1" w:styleId="TableCaption">
    <w:name w:val="TableCaption"/>
    <w:link w:val="TableCaptionChar"/>
    <w:autoRedefine/>
    <w:qFormat/>
    <w:rsid w:val="0029105C"/>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29105C"/>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29105C"/>
    <w:pPr>
      <w:spacing w:after="0"/>
    </w:pPr>
    <w:rPr>
      <w:rFonts w:asciiTheme="majorHAnsi" w:hAnsiTheme="majorHAnsi"/>
      <w:sz w:val="18"/>
    </w:rPr>
  </w:style>
  <w:style w:type="character" w:customStyle="1" w:styleId="TableFootnoteChar">
    <w:name w:val="TableFootnote Char"/>
    <w:basedOn w:val="DefaultParagraphFont"/>
    <w:link w:val="TableFootnote"/>
    <w:rsid w:val="0029105C"/>
    <w:rPr>
      <w:rFonts w:asciiTheme="majorHAnsi" w:eastAsiaTheme="minorHAnsi" w:hAnsiTheme="majorHAnsi" w:cstheme="minorBidi"/>
      <w:sz w:val="18"/>
      <w:szCs w:val="22"/>
      <w:lang w:eastAsia="en-US"/>
    </w:rPr>
  </w:style>
  <w:style w:type="paragraph" w:customStyle="1" w:styleId="TitleNote">
    <w:name w:val="TitleNote"/>
    <w:basedOn w:val="AuthNotes"/>
    <w:qFormat/>
    <w:rsid w:val="0029105C"/>
    <w:rPr>
      <w:sz w:val="20"/>
    </w:rPr>
  </w:style>
  <w:style w:type="paragraph" w:customStyle="1" w:styleId="TransAbstract">
    <w:name w:val="TransAbstract"/>
    <w:basedOn w:val="Abstract"/>
    <w:qFormat/>
    <w:rsid w:val="0029105C"/>
    <w:pPr>
      <w:spacing w:after="210"/>
    </w:pPr>
  </w:style>
  <w:style w:type="character" w:customStyle="1" w:styleId="TransTitle">
    <w:name w:val="TransTitle"/>
    <w:basedOn w:val="DefaultParagraphFont"/>
    <w:uiPriority w:val="1"/>
    <w:qFormat/>
    <w:rsid w:val="0029105C"/>
    <w:rPr>
      <w:color w:val="538135" w:themeColor="accent6" w:themeShade="BF"/>
    </w:rPr>
  </w:style>
  <w:style w:type="character" w:customStyle="1" w:styleId="Year">
    <w:name w:val="Year"/>
    <w:basedOn w:val="DefaultParagraphFont"/>
    <w:uiPriority w:val="1"/>
    <w:qFormat/>
    <w:rsid w:val="0029105C"/>
    <w:rPr>
      <w:color w:val="auto"/>
      <w:bdr w:val="none" w:sz="0" w:space="0" w:color="auto"/>
      <w:shd w:val="clear" w:color="auto" w:fill="66FF66"/>
    </w:rPr>
  </w:style>
  <w:style w:type="paragraph" w:customStyle="1" w:styleId="DisplayFormulaUnnum">
    <w:name w:val="DisplayFormulaUnnum"/>
    <w:basedOn w:val="Normal"/>
    <w:link w:val="DisplayFormulaUnnumChar"/>
    <w:rsid w:val="0029105C"/>
  </w:style>
  <w:style w:type="character" w:customStyle="1" w:styleId="DateChar">
    <w:name w:val="Date Char"/>
    <w:basedOn w:val="DefaultParagraphFont"/>
    <w:uiPriority w:val="99"/>
    <w:semiHidden/>
    <w:rsid w:val="0029105C"/>
  </w:style>
  <w:style w:type="character" w:customStyle="1" w:styleId="SubtitleChar">
    <w:name w:val="Subtitle Char"/>
    <w:basedOn w:val="DefaultParagraphFont"/>
    <w:uiPriority w:val="11"/>
    <w:rsid w:val="0029105C"/>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29105C"/>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29105C"/>
  </w:style>
  <w:style w:type="character" w:customStyle="1" w:styleId="FigureUnnumChar">
    <w:name w:val="FigureUnnum Char"/>
    <w:basedOn w:val="DefaultParagraphFont"/>
    <w:link w:val="FigureUnnum"/>
    <w:rsid w:val="0029105C"/>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29105C"/>
  </w:style>
  <w:style w:type="character" w:customStyle="1" w:styleId="PresentAddressChar">
    <w:name w:val="PresentAddress Char"/>
    <w:basedOn w:val="DefaultParagraphFont"/>
    <w:link w:val="PresentAddress"/>
    <w:rsid w:val="0029105C"/>
    <w:rPr>
      <w:rFonts w:asciiTheme="minorHAnsi" w:eastAsiaTheme="minorHAnsi" w:hAnsiTheme="minorHAnsi" w:cstheme="minorBidi"/>
      <w:sz w:val="22"/>
      <w:szCs w:val="22"/>
      <w:lang w:eastAsia="en-US"/>
    </w:rPr>
  </w:style>
  <w:style w:type="paragraph" w:customStyle="1" w:styleId="ParaContinue">
    <w:name w:val="ParaContinue"/>
    <w:link w:val="ParaContinueChar"/>
    <w:rsid w:val="0029105C"/>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29105C"/>
    <w:rPr>
      <w:rFonts w:ascii="Times New Roman" w:eastAsiaTheme="minorHAnsi" w:hAnsi="Times New Roman" w:cstheme="minorBidi"/>
      <w:szCs w:val="22"/>
      <w:lang w:eastAsia="en-US"/>
    </w:rPr>
  </w:style>
  <w:style w:type="paragraph" w:customStyle="1" w:styleId="AuthorBio">
    <w:name w:val="AuthorBio"/>
    <w:link w:val="AuthorBioChar"/>
    <w:rsid w:val="0029105C"/>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29105C"/>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29105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9105C"/>
    <w:rPr>
      <w:color w:val="auto"/>
      <w:bdr w:val="none" w:sz="0" w:space="0" w:color="auto"/>
      <w:shd w:val="clear" w:color="auto" w:fill="A5BED6"/>
    </w:rPr>
  </w:style>
  <w:style w:type="character" w:customStyle="1" w:styleId="Report">
    <w:name w:val="Report"/>
    <w:basedOn w:val="DefaultParagraphFont"/>
    <w:uiPriority w:val="1"/>
    <w:qFormat/>
    <w:rsid w:val="0029105C"/>
    <w:rPr>
      <w:bdr w:val="none" w:sz="0" w:space="0" w:color="auto"/>
      <w:shd w:val="clear" w:color="auto" w:fill="D7E553"/>
    </w:rPr>
  </w:style>
  <w:style w:type="character" w:customStyle="1" w:styleId="Thesis">
    <w:name w:val="Thesis"/>
    <w:basedOn w:val="DefaultParagraphFont"/>
    <w:uiPriority w:val="1"/>
    <w:qFormat/>
    <w:rsid w:val="0029105C"/>
    <w:rPr>
      <w:color w:val="auto"/>
      <w:bdr w:val="none" w:sz="0" w:space="0" w:color="auto"/>
      <w:shd w:val="clear" w:color="auto" w:fill="E5D007"/>
    </w:rPr>
  </w:style>
  <w:style w:type="character" w:customStyle="1" w:styleId="Issn">
    <w:name w:val="Issn"/>
    <w:basedOn w:val="DefaultParagraphFont"/>
    <w:uiPriority w:val="1"/>
    <w:qFormat/>
    <w:rsid w:val="0029105C"/>
    <w:rPr>
      <w:bdr w:val="none" w:sz="0" w:space="0" w:color="auto"/>
      <w:shd w:val="clear" w:color="auto" w:fill="A17189"/>
    </w:rPr>
  </w:style>
  <w:style w:type="character" w:customStyle="1" w:styleId="Isbn">
    <w:name w:val="Isbn"/>
    <w:basedOn w:val="DefaultParagraphFont"/>
    <w:uiPriority w:val="1"/>
    <w:qFormat/>
    <w:rsid w:val="0029105C"/>
    <w:rPr>
      <w:bdr w:val="none" w:sz="0" w:space="0" w:color="auto"/>
      <w:shd w:val="clear" w:color="auto" w:fill="C8EBFC"/>
    </w:rPr>
  </w:style>
  <w:style w:type="character" w:customStyle="1" w:styleId="Coden">
    <w:name w:val="Coden"/>
    <w:basedOn w:val="DefaultParagraphFont"/>
    <w:uiPriority w:val="1"/>
    <w:qFormat/>
    <w:rsid w:val="0029105C"/>
    <w:rPr>
      <w:color w:val="auto"/>
      <w:bdr w:val="none" w:sz="0" w:space="0" w:color="auto"/>
      <w:shd w:val="clear" w:color="auto" w:fill="F9A88F"/>
    </w:rPr>
  </w:style>
  <w:style w:type="character" w:customStyle="1" w:styleId="Patent">
    <w:name w:val="Patent"/>
    <w:basedOn w:val="DefaultParagraphFont"/>
    <w:uiPriority w:val="1"/>
    <w:qFormat/>
    <w:rsid w:val="0029105C"/>
    <w:rPr>
      <w:color w:val="auto"/>
      <w:bdr w:val="none" w:sz="0" w:space="0" w:color="auto"/>
      <w:shd w:val="clear" w:color="auto" w:fill="B26510"/>
    </w:rPr>
  </w:style>
  <w:style w:type="character" w:customStyle="1" w:styleId="MiddleName">
    <w:name w:val="MiddleName"/>
    <w:basedOn w:val="DefaultParagraphFont"/>
    <w:uiPriority w:val="1"/>
    <w:qFormat/>
    <w:rsid w:val="0029105C"/>
    <w:rPr>
      <w:color w:val="auto"/>
      <w:bdr w:val="none" w:sz="0" w:space="0" w:color="auto"/>
      <w:shd w:val="clear" w:color="auto" w:fill="9C9C9C"/>
    </w:rPr>
  </w:style>
  <w:style w:type="character" w:customStyle="1" w:styleId="Query">
    <w:name w:val="Query"/>
    <w:basedOn w:val="DefaultParagraphFont"/>
    <w:uiPriority w:val="1"/>
    <w:rsid w:val="0029105C"/>
    <w:rPr>
      <w:bdr w:val="none" w:sz="0" w:space="0" w:color="auto"/>
      <w:shd w:val="clear" w:color="auto" w:fill="FFFF0F"/>
    </w:rPr>
  </w:style>
  <w:style w:type="character" w:customStyle="1" w:styleId="EdMiddleName">
    <w:name w:val="EdMiddleName"/>
    <w:basedOn w:val="DefaultParagraphFont"/>
    <w:uiPriority w:val="1"/>
    <w:rsid w:val="0029105C"/>
    <w:rPr>
      <w:bdr w:val="none" w:sz="0" w:space="0" w:color="auto"/>
      <w:shd w:val="clear" w:color="auto" w:fill="FF67B3"/>
    </w:rPr>
  </w:style>
  <w:style w:type="paragraph" w:customStyle="1" w:styleId="UnnumFigure">
    <w:name w:val="UnnumFigure"/>
    <w:basedOn w:val="Normal"/>
    <w:qFormat/>
    <w:rsid w:val="0029105C"/>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29105C"/>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29105C"/>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29105C"/>
  </w:style>
  <w:style w:type="paragraph" w:customStyle="1" w:styleId="Bibentry">
    <w:name w:val="Bib_entry"/>
    <w:autoRedefine/>
    <w:qFormat/>
    <w:rsid w:val="0029105C"/>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29105C"/>
  </w:style>
  <w:style w:type="paragraph" w:customStyle="1" w:styleId="ListEnd">
    <w:name w:val="ListEnd"/>
    <w:basedOn w:val="Normal"/>
    <w:qFormat/>
    <w:rsid w:val="0029105C"/>
  </w:style>
  <w:style w:type="paragraph" w:customStyle="1" w:styleId="AbbreviationHead">
    <w:name w:val="AbbreviationHead"/>
    <w:basedOn w:val="NomenclatureHead"/>
    <w:qFormat/>
    <w:rsid w:val="0029105C"/>
  </w:style>
  <w:style w:type="paragraph" w:customStyle="1" w:styleId="GraphAbstract">
    <w:name w:val="GraphAbstract"/>
    <w:basedOn w:val="Normal"/>
    <w:qFormat/>
    <w:rsid w:val="0029105C"/>
  </w:style>
  <w:style w:type="paragraph" w:customStyle="1" w:styleId="Epigraph">
    <w:name w:val="Epigraph"/>
    <w:basedOn w:val="Normal"/>
    <w:autoRedefine/>
    <w:qFormat/>
    <w:rsid w:val="0029105C"/>
    <w:pPr>
      <w:ind w:left="720"/>
    </w:pPr>
    <w:rPr>
      <w:iCs/>
      <w:color w:val="BF8F00" w:themeColor="accent4" w:themeShade="BF"/>
    </w:rPr>
  </w:style>
  <w:style w:type="paragraph" w:customStyle="1" w:styleId="Dedication">
    <w:name w:val="Dedication"/>
    <w:basedOn w:val="Para"/>
    <w:autoRedefine/>
    <w:qFormat/>
    <w:rsid w:val="0029105C"/>
    <w:rPr>
      <w:color w:val="C45911" w:themeColor="accent2" w:themeShade="BF"/>
    </w:rPr>
  </w:style>
  <w:style w:type="paragraph" w:customStyle="1" w:styleId="ConflictofInterest">
    <w:name w:val="ConflictofInterest"/>
    <w:basedOn w:val="Para"/>
    <w:autoRedefine/>
    <w:qFormat/>
    <w:rsid w:val="0029105C"/>
    <w:rPr>
      <w:sz w:val="22"/>
    </w:rPr>
  </w:style>
  <w:style w:type="paragraph" w:customStyle="1" w:styleId="FloatQuote">
    <w:name w:val="FloatQuote"/>
    <w:basedOn w:val="Para"/>
    <w:qFormat/>
    <w:rsid w:val="0029105C"/>
    <w:pPr>
      <w:shd w:val="clear" w:color="auto" w:fill="E2EFD9" w:themeFill="accent6" w:themeFillTint="33"/>
      <w:ind w:left="1134" w:right="1134" w:firstLine="0"/>
      <w:jc w:val="both"/>
    </w:pPr>
    <w:rPr>
      <w:sz w:val="18"/>
    </w:rPr>
  </w:style>
  <w:style w:type="paragraph" w:customStyle="1" w:styleId="PullQuote">
    <w:name w:val="PullQuote"/>
    <w:basedOn w:val="Para"/>
    <w:qFormat/>
    <w:rsid w:val="0029105C"/>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29105C"/>
    <w:rPr>
      <w:sz w:val="22"/>
    </w:rPr>
  </w:style>
  <w:style w:type="character" w:customStyle="1" w:styleId="GrantNumber">
    <w:name w:val="GrantNumber"/>
    <w:basedOn w:val="FundingNumber"/>
    <w:uiPriority w:val="1"/>
    <w:qFormat/>
    <w:rsid w:val="0029105C"/>
    <w:rPr>
      <w:color w:val="9900FF"/>
    </w:rPr>
  </w:style>
  <w:style w:type="character" w:customStyle="1" w:styleId="GrantSponser">
    <w:name w:val="GrantSponser"/>
    <w:basedOn w:val="FundingAgency"/>
    <w:uiPriority w:val="1"/>
    <w:qFormat/>
    <w:rsid w:val="0029105C"/>
    <w:rPr>
      <w:color w:val="666699"/>
    </w:rPr>
  </w:style>
  <w:style w:type="paragraph" w:customStyle="1" w:styleId="SuppHead">
    <w:name w:val="SuppHead"/>
    <w:basedOn w:val="Head1"/>
    <w:qFormat/>
    <w:rsid w:val="0029105C"/>
  </w:style>
  <w:style w:type="paragraph" w:customStyle="1" w:styleId="SuppInfo">
    <w:name w:val="SuppInfo"/>
    <w:basedOn w:val="Para"/>
    <w:qFormat/>
    <w:rsid w:val="0029105C"/>
  </w:style>
  <w:style w:type="paragraph" w:customStyle="1" w:styleId="SuppMedia">
    <w:name w:val="SuppMedia"/>
    <w:basedOn w:val="Para"/>
    <w:qFormat/>
    <w:rsid w:val="0029105C"/>
  </w:style>
  <w:style w:type="paragraph" w:customStyle="1" w:styleId="AdditionalInfoHead">
    <w:name w:val="AdditionalInfoHead"/>
    <w:basedOn w:val="Head1"/>
    <w:qFormat/>
    <w:rsid w:val="0029105C"/>
  </w:style>
  <w:style w:type="paragraph" w:customStyle="1" w:styleId="AdditionalInfo">
    <w:name w:val="AdditionalInfo"/>
    <w:basedOn w:val="Para"/>
    <w:qFormat/>
    <w:rsid w:val="0029105C"/>
  </w:style>
  <w:style w:type="paragraph" w:customStyle="1" w:styleId="FeatureTitle">
    <w:name w:val="FeatureTitle"/>
    <w:basedOn w:val="BoxTitle"/>
    <w:qFormat/>
    <w:rsid w:val="0029105C"/>
  </w:style>
  <w:style w:type="paragraph" w:customStyle="1" w:styleId="AltTitle">
    <w:name w:val="AltTitle"/>
    <w:basedOn w:val="Titledocument"/>
    <w:qFormat/>
    <w:rsid w:val="0029105C"/>
  </w:style>
  <w:style w:type="paragraph" w:customStyle="1" w:styleId="AltSubTitle">
    <w:name w:val="AltSubTitle"/>
    <w:basedOn w:val="Subtitle"/>
    <w:qFormat/>
    <w:rsid w:val="0029105C"/>
  </w:style>
  <w:style w:type="paragraph" w:customStyle="1" w:styleId="SelfCitation">
    <w:name w:val="SelfCitation"/>
    <w:basedOn w:val="Para"/>
    <w:qFormat/>
    <w:rsid w:val="0029105C"/>
  </w:style>
  <w:style w:type="paragraph" w:styleId="Subtitle">
    <w:name w:val="Subtitle"/>
    <w:basedOn w:val="Normal"/>
    <w:next w:val="Normal"/>
    <w:link w:val="SubtitleChar1"/>
    <w:uiPriority w:val="11"/>
    <w:qFormat/>
    <w:rsid w:val="0029105C"/>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29105C"/>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29105C"/>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29105C"/>
    <w:rPr>
      <w:b/>
      <w:color w:val="ED7D31" w:themeColor="accent2"/>
    </w:rPr>
  </w:style>
  <w:style w:type="paragraph" w:customStyle="1" w:styleId="FigSource">
    <w:name w:val="FigSource"/>
    <w:basedOn w:val="Normal"/>
    <w:qFormat/>
    <w:rsid w:val="0029105C"/>
  </w:style>
  <w:style w:type="paragraph" w:customStyle="1" w:styleId="Copyright">
    <w:name w:val="Copyright"/>
    <w:basedOn w:val="Normal"/>
    <w:qFormat/>
    <w:rsid w:val="0029105C"/>
  </w:style>
  <w:style w:type="paragraph" w:customStyle="1" w:styleId="InlineSupp">
    <w:name w:val="InlineSupp"/>
    <w:basedOn w:val="Normal"/>
    <w:qFormat/>
    <w:rsid w:val="0029105C"/>
  </w:style>
  <w:style w:type="paragraph" w:customStyle="1" w:styleId="SidebarQuote">
    <w:name w:val="SidebarQuote"/>
    <w:basedOn w:val="Normal"/>
    <w:qFormat/>
    <w:rsid w:val="0029105C"/>
  </w:style>
  <w:style w:type="character" w:customStyle="1" w:styleId="AltName">
    <w:name w:val="AltName"/>
    <w:basedOn w:val="DefaultParagraphFont"/>
    <w:uiPriority w:val="1"/>
    <w:qFormat/>
    <w:rsid w:val="0029105C"/>
    <w:rPr>
      <w:color w:val="806000" w:themeColor="accent4" w:themeShade="80"/>
    </w:rPr>
  </w:style>
  <w:style w:type="paragraph" w:customStyle="1" w:styleId="StereoChemComp">
    <w:name w:val="StereoChemComp"/>
    <w:basedOn w:val="Normal"/>
    <w:qFormat/>
    <w:rsid w:val="0029105C"/>
  </w:style>
  <w:style w:type="paragraph" w:customStyle="1" w:styleId="StereoChemForm">
    <w:name w:val="StereoChemForm"/>
    <w:basedOn w:val="Normal"/>
    <w:qFormat/>
    <w:rsid w:val="0029105C"/>
  </w:style>
  <w:style w:type="paragraph" w:customStyle="1" w:styleId="StereoChemInfo">
    <w:name w:val="StereoChemInfo"/>
    <w:basedOn w:val="Normal"/>
    <w:qFormat/>
    <w:rsid w:val="0029105C"/>
  </w:style>
  <w:style w:type="paragraph" w:customStyle="1" w:styleId="Address">
    <w:name w:val="Address"/>
    <w:rsid w:val="0029105C"/>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29105C"/>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29105C"/>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29105C"/>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29105C"/>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29105C"/>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29105C"/>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29105C"/>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29105C"/>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29105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29105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9105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9105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9105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29105C"/>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29105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9105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29105C"/>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29105C"/>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29105C"/>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9105C"/>
    <w:rPr>
      <w:b/>
    </w:rPr>
  </w:style>
  <w:style w:type="paragraph" w:customStyle="1" w:styleId="Prelims">
    <w:name w:val="Prelims"/>
    <w:basedOn w:val="Normal"/>
    <w:rsid w:val="0029105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29105C"/>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29105C"/>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29105C"/>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29105C"/>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29105C"/>
    <w:rPr>
      <w:color w:val="7030A0"/>
    </w:rPr>
  </w:style>
  <w:style w:type="paragraph" w:customStyle="1" w:styleId="Update">
    <w:name w:val="Update"/>
    <w:basedOn w:val="Normal"/>
    <w:qFormat/>
    <w:rsid w:val="0029105C"/>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29105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29105C"/>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29105C"/>
  </w:style>
  <w:style w:type="character" w:customStyle="1" w:styleId="FundingAgency">
    <w:name w:val="FundingAgency"/>
    <w:basedOn w:val="DefaultParagraphFont"/>
    <w:uiPriority w:val="1"/>
    <w:qFormat/>
    <w:rsid w:val="0029105C"/>
    <w:rPr>
      <w:color w:val="FF0000"/>
    </w:rPr>
  </w:style>
  <w:style w:type="character" w:customStyle="1" w:styleId="FundingNumber">
    <w:name w:val="FundingNumber"/>
    <w:basedOn w:val="DefaultParagraphFont"/>
    <w:uiPriority w:val="1"/>
    <w:qFormat/>
    <w:rsid w:val="0029105C"/>
    <w:rPr>
      <w:color w:val="9900FF"/>
    </w:rPr>
  </w:style>
  <w:style w:type="character" w:customStyle="1" w:styleId="Orcid">
    <w:name w:val="Orcid"/>
    <w:basedOn w:val="DefaultParagraphFont"/>
    <w:uiPriority w:val="1"/>
    <w:qFormat/>
    <w:rsid w:val="0029105C"/>
    <w:rPr>
      <w:color w:val="7030A0"/>
    </w:rPr>
  </w:style>
  <w:style w:type="paragraph" w:customStyle="1" w:styleId="TOC1">
    <w:name w:val="TOC1"/>
    <w:basedOn w:val="Normal"/>
    <w:qFormat/>
    <w:rsid w:val="0029105C"/>
  </w:style>
  <w:style w:type="paragraph" w:customStyle="1" w:styleId="TOC2">
    <w:name w:val="TOC2"/>
    <w:basedOn w:val="Normal"/>
    <w:qFormat/>
    <w:rsid w:val="0029105C"/>
  </w:style>
  <w:style w:type="paragraph" w:customStyle="1" w:styleId="TOC3">
    <w:name w:val="TOC3"/>
    <w:basedOn w:val="Normal"/>
    <w:qFormat/>
    <w:rsid w:val="0029105C"/>
  </w:style>
  <w:style w:type="paragraph" w:customStyle="1" w:styleId="TOC4">
    <w:name w:val="TOC4"/>
    <w:basedOn w:val="Normal"/>
    <w:qFormat/>
    <w:rsid w:val="0029105C"/>
  </w:style>
  <w:style w:type="paragraph" w:customStyle="1" w:styleId="TOCHeading">
    <w:name w:val="TOCHeading"/>
    <w:basedOn w:val="Normal"/>
    <w:qFormat/>
    <w:rsid w:val="0029105C"/>
  </w:style>
  <w:style w:type="paragraph" w:customStyle="1" w:styleId="Index1">
    <w:name w:val="Index1"/>
    <w:basedOn w:val="Normal"/>
    <w:qFormat/>
    <w:rsid w:val="0029105C"/>
  </w:style>
  <w:style w:type="paragraph" w:customStyle="1" w:styleId="Index2">
    <w:name w:val="Index2"/>
    <w:basedOn w:val="Normal"/>
    <w:qFormat/>
    <w:rsid w:val="0029105C"/>
    <w:pPr>
      <w:ind w:left="284"/>
    </w:pPr>
  </w:style>
  <w:style w:type="paragraph" w:customStyle="1" w:styleId="Index3">
    <w:name w:val="Index3"/>
    <w:basedOn w:val="Normal"/>
    <w:qFormat/>
    <w:rsid w:val="0029105C"/>
    <w:pPr>
      <w:ind w:left="567"/>
    </w:pPr>
  </w:style>
  <w:style w:type="paragraph" w:customStyle="1" w:styleId="Index4">
    <w:name w:val="Index4"/>
    <w:basedOn w:val="Normal"/>
    <w:qFormat/>
    <w:rsid w:val="0029105C"/>
    <w:pPr>
      <w:ind w:left="851"/>
    </w:pPr>
  </w:style>
  <w:style w:type="paragraph" w:customStyle="1" w:styleId="IndexHead">
    <w:name w:val="IndexHead"/>
    <w:basedOn w:val="Normal"/>
    <w:qFormat/>
    <w:rsid w:val="0029105C"/>
  </w:style>
  <w:style w:type="paragraph" w:customStyle="1" w:styleId="BoxHead1">
    <w:name w:val="BoxHead1"/>
    <w:basedOn w:val="AppendixH1"/>
    <w:qFormat/>
    <w:rsid w:val="0029105C"/>
  </w:style>
  <w:style w:type="paragraph" w:customStyle="1" w:styleId="BoxHead2">
    <w:name w:val="BoxHead2"/>
    <w:basedOn w:val="AppendixH2"/>
    <w:qFormat/>
    <w:rsid w:val="0029105C"/>
  </w:style>
  <w:style w:type="paragraph" w:customStyle="1" w:styleId="BoxHead3">
    <w:name w:val="BoxHead3"/>
    <w:basedOn w:val="AppendixH3"/>
    <w:qFormat/>
    <w:rsid w:val="0029105C"/>
  </w:style>
  <w:style w:type="paragraph" w:customStyle="1" w:styleId="ChapterNumber">
    <w:name w:val="ChapterNumber"/>
    <w:basedOn w:val="Normal"/>
    <w:next w:val="Normal"/>
    <w:rsid w:val="0029105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29105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29105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29105C"/>
    <w:rPr>
      <w:i w:val="0"/>
      <w:sz w:val="40"/>
    </w:rPr>
  </w:style>
  <w:style w:type="paragraph" w:customStyle="1" w:styleId="ChapterSubTitle">
    <w:name w:val="ChapterSubTitle"/>
    <w:basedOn w:val="ChapterTitle"/>
    <w:next w:val="Normal"/>
    <w:rsid w:val="0029105C"/>
    <w:pPr>
      <w:spacing w:before="0"/>
    </w:pPr>
    <w:rPr>
      <w:b w:val="0"/>
      <w:i/>
      <w:sz w:val="36"/>
    </w:rPr>
  </w:style>
  <w:style w:type="paragraph" w:customStyle="1" w:styleId="ParaFirst">
    <w:name w:val="ParaFirst"/>
    <w:qFormat/>
    <w:rsid w:val="0029105C"/>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29105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9105C"/>
    <w:pPr>
      <w:pBdr>
        <w:top w:val="none" w:sz="0" w:space="0" w:color="auto"/>
        <w:bottom w:val="thickThinSmallGap" w:sz="24" w:space="1" w:color="auto"/>
      </w:pBdr>
    </w:pPr>
  </w:style>
  <w:style w:type="paragraph" w:customStyle="1" w:styleId="AuthorBioHead">
    <w:name w:val="AuthorBioHead"/>
    <w:qFormat/>
    <w:rsid w:val="0029105C"/>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29105C"/>
    <w:rPr>
      <w:color w:val="BF8F00" w:themeColor="accent4" w:themeShade="BF"/>
    </w:rPr>
  </w:style>
  <w:style w:type="character" w:customStyle="1" w:styleId="RevisedDate2">
    <w:name w:val="RevisedDate2"/>
    <w:basedOn w:val="DefaultParagraphFont"/>
    <w:uiPriority w:val="1"/>
    <w:qFormat/>
    <w:rsid w:val="0029105C"/>
    <w:rPr>
      <w:color w:val="538135" w:themeColor="accent6" w:themeShade="BF"/>
    </w:rPr>
  </w:style>
  <w:style w:type="paragraph" w:customStyle="1" w:styleId="ClientTag">
    <w:name w:val="ClientTag"/>
    <w:basedOn w:val="Normal"/>
    <w:qFormat/>
    <w:rsid w:val="0029105C"/>
  </w:style>
  <w:style w:type="paragraph" w:customStyle="1" w:styleId="RefHead1">
    <w:name w:val="RefHead1"/>
    <w:basedOn w:val="ReferenceHead"/>
    <w:qFormat/>
    <w:rsid w:val="0029105C"/>
    <w:pPr>
      <w:ind w:left="284"/>
    </w:pPr>
  </w:style>
  <w:style w:type="paragraph" w:customStyle="1" w:styleId="RefHead2">
    <w:name w:val="RefHead2"/>
    <w:basedOn w:val="ReferenceHead"/>
    <w:qFormat/>
    <w:rsid w:val="0029105C"/>
    <w:pPr>
      <w:ind w:left="567"/>
    </w:pPr>
  </w:style>
  <w:style w:type="paragraph" w:customStyle="1" w:styleId="RefHead3">
    <w:name w:val="RefHead3"/>
    <w:basedOn w:val="ReferenceHead"/>
    <w:qFormat/>
    <w:rsid w:val="0029105C"/>
    <w:pPr>
      <w:spacing w:before="30"/>
      <w:ind w:left="851"/>
    </w:pPr>
  </w:style>
  <w:style w:type="paragraph" w:customStyle="1" w:styleId="FundingHead">
    <w:name w:val="FundingHead"/>
    <w:basedOn w:val="AckHead"/>
    <w:qFormat/>
    <w:rsid w:val="0029105C"/>
  </w:style>
  <w:style w:type="paragraph" w:customStyle="1" w:styleId="FundingPara">
    <w:name w:val="FundingPara"/>
    <w:basedOn w:val="FundingHead"/>
    <w:next w:val="AckPara"/>
    <w:qFormat/>
    <w:rsid w:val="0029105C"/>
  </w:style>
  <w:style w:type="paragraph" w:customStyle="1" w:styleId="DisclosureHead">
    <w:name w:val="DisclosureHead"/>
    <w:basedOn w:val="Head1"/>
    <w:qFormat/>
    <w:rsid w:val="0029105C"/>
  </w:style>
  <w:style w:type="paragraph" w:customStyle="1" w:styleId="Disclosure">
    <w:name w:val="Disclosure"/>
    <w:basedOn w:val="Para"/>
    <w:qFormat/>
    <w:rsid w:val="0029105C"/>
  </w:style>
  <w:style w:type="paragraph" w:customStyle="1" w:styleId="Quotation">
    <w:name w:val="Quotation"/>
    <w:basedOn w:val="Normal"/>
    <w:qFormat/>
    <w:rsid w:val="0029105C"/>
    <w:pPr>
      <w:jc w:val="center"/>
    </w:pPr>
    <w:rPr>
      <w:sz w:val="16"/>
    </w:rPr>
  </w:style>
  <w:style w:type="character" w:customStyle="1" w:styleId="Correct">
    <w:name w:val="Correct"/>
    <w:basedOn w:val="DefaultParagraphFont"/>
    <w:uiPriority w:val="1"/>
    <w:qFormat/>
    <w:rsid w:val="0029105C"/>
    <w:rPr>
      <w:b/>
      <w:color w:val="0070C0"/>
    </w:rPr>
  </w:style>
  <w:style w:type="paragraph" w:customStyle="1" w:styleId="Explanation">
    <w:name w:val="Explanation"/>
    <w:basedOn w:val="Normal"/>
    <w:rsid w:val="0029105C"/>
    <w:pPr>
      <w:spacing w:before="240" w:after="240" w:line="360" w:lineRule="auto"/>
    </w:pPr>
    <w:rPr>
      <w:rFonts w:eastAsia="Times New Roman" w:cs="Times New Roman"/>
      <w:color w:val="666633"/>
      <w:lang w:val="en-GB" w:bidi="ar-DZ"/>
    </w:rPr>
  </w:style>
  <w:style w:type="paragraph" w:customStyle="1" w:styleId="Hint">
    <w:name w:val="Hint"/>
    <w:basedOn w:val="Normal"/>
    <w:rsid w:val="0029105C"/>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29105C"/>
    <w:pPr>
      <w:spacing w:before="240" w:after="240" w:line="240" w:lineRule="auto"/>
    </w:pPr>
    <w:rPr>
      <w:rFonts w:eastAsia="Times New Roman" w:cs="Times New Roman"/>
      <w:lang w:val="en-GB" w:bidi="ar-DZ"/>
    </w:rPr>
  </w:style>
  <w:style w:type="paragraph" w:customStyle="1" w:styleId="QuestionMatch">
    <w:name w:val="Question_Match"/>
    <w:basedOn w:val="Normal"/>
    <w:rsid w:val="0029105C"/>
    <w:pPr>
      <w:spacing w:before="240" w:after="240" w:line="240" w:lineRule="auto"/>
    </w:pPr>
    <w:rPr>
      <w:rFonts w:eastAsia="Times New Roman" w:cs="Times New Roman"/>
      <w:lang w:val="en-GB" w:bidi="ar-DZ"/>
    </w:rPr>
  </w:style>
  <w:style w:type="paragraph" w:customStyle="1" w:styleId="QuestionMultiCh">
    <w:name w:val="Question_MultiCh"/>
    <w:basedOn w:val="Normal"/>
    <w:rsid w:val="0029105C"/>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29105C"/>
    <w:pPr>
      <w:spacing w:before="240" w:after="240" w:line="240" w:lineRule="auto"/>
    </w:pPr>
    <w:rPr>
      <w:rFonts w:eastAsia="Times New Roman" w:cs="Times New Roman"/>
      <w:lang w:val="en-GB" w:bidi="ar-DZ"/>
    </w:rPr>
  </w:style>
  <w:style w:type="paragraph" w:customStyle="1" w:styleId="Worksolution">
    <w:name w:val="Worksolution"/>
    <w:basedOn w:val="Normal"/>
    <w:rsid w:val="0029105C"/>
    <w:pPr>
      <w:spacing w:after="0" w:line="240" w:lineRule="auto"/>
    </w:pPr>
    <w:rPr>
      <w:rFonts w:eastAsia="Times New Roman" w:cs="Times New Roman"/>
      <w:lang w:val="en-GB" w:bidi="ar-DZ"/>
    </w:rPr>
  </w:style>
  <w:style w:type="paragraph" w:customStyle="1" w:styleId="MetadataHead">
    <w:name w:val="MetadataHead"/>
    <w:basedOn w:val="Normal"/>
    <w:rsid w:val="0029105C"/>
    <w:rPr>
      <w:color w:val="4472C4" w:themeColor="accent1"/>
      <w:sz w:val="20"/>
    </w:rPr>
  </w:style>
  <w:style w:type="character" w:customStyle="1" w:styleId="Subject1">
    <w:name w:val="Subject1"/>
    <w:basedOn w:val="DefaultParagraphFont"/>
    <w:uiPriority w:val="1"/>
    <w:rsid w:val="0029105C"/>
    <w:rPr>
      <w:rFonts w:ascii="Times New Roman" w:hAnsi="Times New Roman"/>
      <w:color w:val="002060"/>
      <w:sz w:val="20"/>
    </w:rPr>
  </w:style>
  <w:style w:type="character" w:customStyle="1" w:styleId="Subject2">
    <w:name w:val="Subject2"/>
    <w:basedOn w:val="Subject1"/>
    <w:uiPriority w:val="1"/>
    <w:rsid w:val="0029105C"/>
    <w:rPr>
      <w:rFonts w:ascii="Times New Roman" w:hAnsi="Times New Roman"/>
      <w:color w:val="002060"/>
      <w:sz w:val="20"/>
    </w:rPr>
  </w:style>
  <w:style w:type="paragraph" w:customStyle="1" w:styleId="FigKeyword">
    <w:name w:val="FigKeyword"/>
    <w:basedOn w:val="Normal"/>
    <w:qFormat/>
    <w:rsid w:val="0029105C"/>
  </w:style>
  <w:style w:type="paragraph" w:customStyle="1" w:styleId="FigCopyright">
    <w:name w:val="FigCopyright"/>
    <w:basedOn w:val="Normal"/>
    <w:qFormat/>
    <w:rsid w:val="0029105C"/>
  </w:style>
  <w:style w:type="character" w:customStyle="1" w:styleId="EpreprintDate">
    <w:name w:val="EpreprintDate"/>
    <w:basedOn w:val="DefaultParagraphFont"/>
    <w:uiPriority w:val="1"/>
    <w:qFormat/>
    <w:rsid w:val="0029105C"/>
    <w:rPr>
      <w:bdr w:val="none" w:sz="0" w:space="0" w:color="auto"/>
      <w:shd w:val="clear" w:color="auto" w:fill="B4C6E7" w:themeFill="accent1" w:themeFillTint="66"/>
    </w:rPr>
  </w:style>
  <w:style w:type="paragraph" w:customStyle="1" w:styleId="ChemFormula">
    <w:name w:val="ChemFormula"/>
    <w:basedOn w:val="Normal"/>
    <w:qFormat/>
    <w:rsid w:val="0029105C"/>
  </w:style>
  <w:style w:type="paragraph" w:customStyle="1" w:styleId="ChemFormulaUnnum">
    <w:name w:val="ChemFormulaUnnum"/>
    <w:basedOn w:val="Normal"/>
    <w:qFormat/>
    <w:rsid w:val="0029105C"/>
  </w:style>
  <w:style w:type="paragraph" w:customStyle="1" w:styleId="Value">
    <w:name w:val="Value"/>
    <w:basedOn w:val="Normal"/>
    <w:next w:val="Normal"/>
    <w:qFormat/>
    <w:rsid w:val="0029105C"/>
  </w:style>
  <w:style w:type="paragraph" w:customStyle="1" w:styleId="Yours">
    <w:name w:val="Yours"/>
    <w:basedOn w:val="Normal"/>
    <w:next w:val="Normal"/>
    <w:qFormat/>
    <w:rsid w:val="0029105C"/>
  </w:style>
  <w:style w:type="paragraph" w:customStyle="1" w:styleId="Letter-ps">
    <w:name w:val="Letter-ps"/>
    <w:basedOn w:val="Normal"/>
    <w:next w:val="Normal"/>
    <w:qFormat/>
    <w:rsid w:val="0029105C"/>
  </w:style>
  <w:style w:type="paragraph" w:styleId="Salutation">
    <w:name w:val="Salutation"/>
    <w:basedOn w:val="Normal"/>
    <w:next w:val="Normal"/>
    <w:link w:val="SalutationChar"/>
    <w:uiPriority w:val="99"/>
    <w:semiHidden/>
    <w:unhideWhenUsed/>
    <w:rsid w:val="0029105C"/>
  </w:style>
  <w:style w:type="character" w:customStyle="1" w:styleId="SalutationChar">
    <w:name w:val="Salutation Char"/>
    <w:basedOn w:val="DefaultParagraphFont"/>
    <w:link w:val="Salutation"/>
    <w:uiPriority w:val="99"/>
    <w:semiHidden/>
    <w:rsid w:val="0029105C"/>
    <w:rPr>
      <w:rFonts w:asciiTheme="minorHAnsi" w:eastAsiaTheme="minorHAnsi" w:hAnsiTheme="minorHAnsi" w:cstheme="minorBidi"/>
      <w:sz w:val="22"/>
      <w:szCs w:val="22"/>
      <w:lang w:eastAsia="en-US"/>
    </w:rPr>
  </w:style>
  <w:style w:type="paragraph" w:customStyle="1" w:styleId="AppendixNumber">
    <w:name w:val="AppendixNumber"/>
    <w:qFormat/>
    <w:rsid w:val="0029105C"/>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29105C"/>
  </w:style>
  <w:style w:type="paragraph" w:customStyle="1" w:styleId="FeatureFixedTitle">
    <w:name w:val="FeatureFixedTitle"/>
    <w:basedOn w:val="Normal"/>
    <w:qFormat/>
    <w:rsid w:val="0029105C"/>
  </w:style>
  <w:style w:type="paragraph" w:customStyle="1" w:styleId="Feature">
    <w:name w:val="Feature"/>
    <w:basedOn w:val="BoxTitle"/>
    <w:qFormat/>
    <w:rsid w:val="0029105C"/>
  </w:style>
  <w:style w:type="paragraph" w:customStyle="1" w:styleId="FeatureHead1">
    <w:name w:val="FeatureHead1"/>
    <w:basedOn w:val="Normal"/>
    <w:qFormat/>
    <w:rsid w:val="0029105C"/>
  </w:style>
  <w:style w:type="paragraph" w:customStyle="1" w:styleId="FeatureHead2">
    <w:name w:val="FeatureHead2"/>
    <w:basedOn w:val="FeatureHead1"/>
    <w:qFormat/>
    <w:rsid w:val="0029105C"/>
  </w:style>
  <w:style w:type="paragraph" w:customStyle="1" w:styleId="ExerciseSection">
    <w:name w:val="ExerciseSection"/>
    <w:basedOn w:val="Normal"/>
    <w:qFormat/>
    <w:rsid w:val="0029105C"/>
  </w:style>
  <w:style w:type="character" w:customStyle="1" w:styleId="FigCount">
    <w:name w:val="FigCount"/>
    <w:basedOn w:val="DefaultParagraphFont"/>
    <w:uiPriority w:val="1"/>
    <w:qFormat/>
    <w:rsid w:val="0029105C"/>
    <w:rPr>
      <w:color w:val="0000FF"/>
    </w:rPr>
  </w:style>
  <w:style w:type="character" w:customStyle="1" w:styleId="TblCount">
    <w:name w:val="TblCount"/>
    <w:basedOn w:val="DefaultParagraphFont"/>
    <w:uiPriority w:val="1"/>
    <w:qFormat/>
    <w:rsid w:val="0029105C"/>
    <w:rPr>
      <w:color w:val="0000FF"/>
    </w:rPr>
  </w:style>
  <w:style w:type="character" w:customStyle="1" w:styleId="RefCount">
    <w:name w:val="RefCount"/>
    <w:basedOn w:val="DefaultParagraphFont"/>
    <w:uiPriority w:val="1"/>
    <w:qFormat/>
    <w:rsid w:val="0029105C"/>
    <w:rPr>
      <w:color w:val="0000FF"/>
    </w:rPr>
  </w:style>
  <w:style w:type="character" w:customStyle="1" w:styleId="EqnCount">
    <w:name w:val="EqnCount"/>
    <w:basedOn w:val="DefaultParagraphFont"/>
    <w:uiPriority w:val="1"/>
    <w:qFormat/>
    <w:rsid w:val="0029105C"/>
    <w:rPr>
      <w:color w:val="0000FF"/>
    </w:rPr>
  </w:style>
  <w:style w:type="paragraph" w:customStyle="1" w:styleId="AuthInfo">
    <w:name w:val="AuthInfo"/>
    <w:qFormat/>
    <w:rsid w:val="0029105C"/>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29105C"/>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29105C"/>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29105C"/>
  </w:style>
  <w:style w:type="paragraph" w:customStyle="1" w:styleId="RelatedArticle">
    <w:name w:val="RelatedArticle"/>
    <w:qFormat/>
    <w:rsid w:val="0029105C"/>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29105C"/>
    <w:rPr>
      <w:sz w:val="20"/>
    </w:rPr>
  </w:style>
  <w:style w:type="paragraph" w:customStyle="1" w:styleId="BoxKeyword">
    <w:name w:val="BoxKeyword"/>
    <w:autoRedefine/>
    <w:qFormat/>
    <w:rsid w:val="0029105C"/>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29105C"/>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29105C"/>
  </w:style>
  <w:style w:type="character" w:customStyle="1" w:styleId="BookSeries">
    <w:name w:val="BookSeries"/>
    <w:uiPriority w:val="1"/>
    <w:rsid w:val="0029105C"/>
  </w:style>
  <w:style w:type="paragraph" w:customStyle="1" w:styleId="SuppKeyword">
    <w:name w:val="SuppKeyword"/>
    <w:basedOn w:val="SuppInfo"/>
    <w:qFormat/>
    <w:rsid w:val="0029105C"/>
  </w:style>
  <w:style w:type="character" w:customStyle="1" w:styleId="eSlide">
    <w:name w:val="eSlide"/>
    <w:basedOn w:val="DefaultParagraphFont"/>
    <w:uiPriority w:val="1"/>
    <w:qFormat/>
    <w:rsid w:val="0029105C"/>
    <w:rPr>
      <w:color w:val="FF0000"/>
    </w:rPr>
  </w:style>
  <w:style w:type="character" w:customStyle="1" w:styleId="KeyTerm">
    <w:name w:val="KeyTerm"/>
    <w:basedOn w:val="DefaultParagraphFont"/>
    <w:uiPriority w:val="1"/>
    <w:qFormat/>
    <w:rsid w:val="0029105C"/>
    <w:rPr>
      <w:color w:val="538135" w:themeColor="accent6" w:themeShade="BF"/>
    </w:rPr>
  </w:style>
  <w:style w:type="character" w:customStyle="1" w:styleId="OtherTitle">
    <w:name w:val="OtherTitle"/>
    <w:basedOn w:val="DefaultParagraphFont"/>
    <w:uiPriority w:val="1"/>
    <w:qFormat/>
    <w:rsid w:val="0029105C"/>
    <w:rPr>
      <w:bdr w:val="none" w:sz="0" w:space="0" w:color="auto"/>
      <w:shd w:val="clear" w:color="auto" w:fill="BDD6EE" w:themeFill="accent5" w:themeFillTint="66"/>
    </w:rPr>
  </w:style>
  <w:style w:type="paragraph" w:customStyle="1" w:styleId="SidebarText">
    <w:name w:val="SidebarText"/>
    <w:basedOn w:val="Normal"/>
    <w:qFormat/>
    <w:rsid w:val="0029105C"/>
    <w:pPr>
      <w:spacing w:after="0" w:line="360" w:lineRule="auto"/>
      <w:ind w:left="475"/>
    </w:pPr>
    <w:rPr>
      <w:rFonts w:eastAsia="Times New Roman" w:cs="Times New Roman"/>
      <w:noProof/>
      <w:szCs w:val="20"/>
    </w:rPr>
  </w:style>
  <w:style w:type="character" w:customStyle="1" w:styleId="term-InText">
    <w:name w:val="term-InText"/>
    <w:uiPriority w:val="1"/>
    <w:rsid w:val="0029105C"/>
  </w:style>
  <w:style w:type="character" w:customStyle="1" w:styleId="GrantAuthor">
    <w:name w:val="GrantAuthor"/>
    <w:basedOn w:val="DefaultParagraphFont"/>
    <w:uiPriority w:val="1"/>
    <w:qFormat/>
    <w:rsid w:val="0029105C"/>
    <w:rPr>
      <w:color w:val="C45911" w:themeColor="accent2" w:themeShade="BF"/>
    </w:rPr>
  </w:style>
  <w:style w:type="character" w:customStyle="1" w:styleId="Price">
    <w:name w:val="Price"/>
    <w:uiPriority w:val="1"/>
    <w:rsid w:val="0029105C"/>
  </w:style>
  <w:style w:type="paragraph" w:customStyle="1" w:styleId="BoxFootnote">
    <w:name w:val="BoxFootnote"/>
    <w:basedOn w:val="TableFootnote"/>
    <w:qFormat/>
    <w:rsid w:val="0029105C"/>
  </w:style>
  <w:style w:type="paragraph" w:customStyle="1" w:styleId="ConflictOfInterestHead">
    <w:name w:val="ConflictOfInterestHead"/>
    <w:basedOn w:val="AdditionalInfoHead"/>
    <w:qFormat/>
    <w:rsid w:val="0029105C"/>
  </w:style>
  <w:style w:type="character" w:customStyle="1" w:styleId="eLocator">
    <w:name w:val="eLocator"/>
    <w:basedOn w:val="DefaultParagraphFont"/>
    <w:uiPriority w:val="1"/>
    <w:rsid w:val="0029105C"/>
    <w:rPr>
      <w:color w:val="A5A5A5" w:themeColor="accent3"/>
    </w:rPr>
  </w:style>
  <w:style w:type="character" w:customStyle="1" w:styleId="Twitter">
    <w:name w:val="Twitter"/>
    <w:basedOn w:val="DefaultParagraphFont"/>
    <w:uiPriority w:val="1"/>
    <w:qFormat/>
    <w:rsid w:val="0029105C"/>
    <w:rPr>
      <w:color w:val="BF8F00" w:themeColor="accent4" w:themeShade="BF"/>
    </w:rPr>
  </w:style>
  <w:style w:type="paragraph" w:customStyle="1" w:styleId="StubTitledocument">
    <w:name w:val="StubTitle_document"/>
    <w:basedOn w:val="Subtitle"/>
    <w:qFormat/>
    <w:rsid w:val="0029105C"/>
  </w:style>
  <w:style w:type="character" w:customStyle="1" w:styleId="ArticleNumber">
    <w:name w:val="ArticleNumber"/>
    <w:basedOn w:val="DefaultParagraphFont"/>
    <w:uiPriority w:val="1"/>
    <w:qFormat/>
    <w:rsid w:val="0029105C"/>
    <w:rPr>
      <w:color w:val="3F3E00"/>
    </w:rPr>
  </w:style>
  <w:style w:type="paragraph" w:customStyle="1" w:styleId="EqnGroupBegin">
    <w:name w:val="EqnGroupBegin"/>
    <w:basedOn w:val="Normal"/>
    <w:qFormat/>
    <w:rsid w:val="0029105C"/>
    <w:pPr>
      <w:pBdr>
        <w:top w:val="single" w:sz="12" w:space="1" w:color="auto"/>
      </w:pBdr>
      <w:shd w:val="clear" w:color="auto" w:fill="C9C9C9" w:themeFill="accent3" w:themeFillTint="99"/>
      <w:jc w:val="center"/>
    </w:pPr>
  </w:style>
  <w:style w:type="paragraph" w:customStyle="1" w:styleId="EqnGroupEnd">
    <w:name w:val="EqnGroupEnd"/>
    <w:basedOn w:val="Normal"/>
    <w:qFormat/>
    <w:rsid w:val="0029105C"/>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29105C"/>
    <w:rPr>
      <w:color w:val="auto"/>
      <w:bdr w:val="none" w:sz="0" w:space="0" w:color="auto"/>
      <w:shd w:val="clear" w:color="auto" w:fill="97FF97"/>
    </w:rPr>
  </w:style>
  <w:style w:type="character" w:customStyle="1" w:styleId="PII">
    <w:name w:val="PII"/>
    <w:basedOn w:val="DefaultParagraphFont"/>
    <w:uiPriority w:val="1"/>
    <w:rsid w:val="0029105C"/>
    <w:rPr>
      <w:bdr w:val="none" w:sz="0" w:space="0" w:color="auto"/>
      <w:shd w:val="clear" w:color="auto" w:fill="F9907F"/>
    </w:rPr>
  </w:style>
  <w:style w:type="paragraph" w:customStyle="1" w:styleId="Image">
    <w:name w:val="Image"/>
    <w:basedOn w:val="Normal"/>
    <w:qFormat/>
    <w:rsid w:val="0029105C"/>
  </w:style>
  <w:style w:type="paragraph" w:customStyle="1" w:styleId="ShortTitle">
    <w:name w:val="ShortTitle"/>
    <w:basedOn w:val="Normal"/>
    <w:qFormat/>
    <w:rsid w:val="0029105C"/>
  </w:style>
  <w:style w:type="paragraph" w:customStyle="1" w:styleId="ReferencedData">
    <w:name w:val="ReferencedData"/>
    <w:basedOn w:val="ShortTitle"/>
    <w:qFormat/>
    <w:rsid w:val="0029105C"/>
  </w:style>
  <w:style w:type="character" w:customStyle="1" w:styleId="Nickname">
    <w:name w:val="Nickname"/>
    <w:basedOn w:val="DefaultParagraphFont"/>
    <w:uiPriority w:val="1"/>
    <w:qFormat/>
    <w:rsid w:val="0029105C"/>
    <w:rPr>
      <w:color w:val="538135" w:themeColor="accent6" w:themeShade="BF"/>
    </w:rPr>
  </w:style>
  <w:style w:type="character" w:styleId="Emphasis">
    <w:name w:val="Emphasis"/>
    <w:basedOn w:val="DefaultParagraphFont"/>
    <w:uiPriority w:val="20"/>
    <w:qFormat/>
    <w:rsid w:val="0029105C"/>
    <w:rPr>
      <w:i/>
      <w:iCs/>
    </w:rPr>
  </w:style>
  <w:style w:type="character" w:customStyle="1" w:styleId="DrugName">
    <w:name w:val="Drug Name"/>
    <w:qFormat/>
    <w:rsid w:val="0029105C"/>
    <w:rPr>
      <w:rFonts w:ascii="Arial" w:hAnsi="Arial"/>
      <w:b/>
      <w:color w:val="E36C0A"/>
      <w:u w:val="single"/>
    </w:rPr>
  </w:style>
  <w:style w:type="paragraph" w:customStyle="1" w:styleId="Supplementary">
    <w:name w:val="Supplementary"/>
    <w:basedOn w:val="Normal"/>
    <w:qFormat/>
    <w:rsid w:val="0029105C"/>
  </w:style>
  <w:style w:type="character" w:customStyle="1" w:styleId="accessionId">
    <w:name w:val="accessionId"/>
    <w:basedOn w:val="DefaultParagraphFont"/>
    <w:uiPriority w:val="1"/>
    <w:qFormat/>
    <w:rsid w:val="0029105C"/>
    <w:rPr>
      <w:color w:val="FF0000"/>
    </w:rPr>
  </w:style>
  <w:style w:type="character" w:customStyle="1" w:styleId="Pronouns">
    <w:name w:val="Pronouns"/>
    <w:basedOn w:val="DefaultParagraphFont"/>
    <w:uiPriority w:val="1"/>
    <w:qFormat/>
    <w:rsid w:val="0029105C"/>
    <w:rPr>
      <w:color w:val="C45911" w:themeColor="accent2" w:themeShade="BF"/>
    </w:rPr>
  </w:style>
  <w:style w:type="character" w:customStyle="1" w:styleId="CreditTaxonomy">
    <w:name w:val="CreditTaxonomy"/>
    <w:basedOn w:val="DefaultParagraphFont"/>
    <w:uiPriority w:val="1"/>
    <w:rsid w:val="0029105C"/>
    <w:rPr>
      <w:color w:val="00B050"/>
    </w:rPr>
  </w:style>
  <w:style w:type="paragraph" w:customStyle="1" w:styleId="TableSource">
    <w:name w:val="TableSource"/>
    <w:basedOn w:val="Normal"/>
    <w:qFormat/>
    <w:rsid w:val="0029105C"/>
  </w:style>
  <w:style w:type="character" w:customStyle="1" w:styleId="collab-text">
    <w:name w:val="collab-text"/>
    <w:basedOn w:val="DefaultParagraphFont"/>
    <w:uiPriority w:val="1"/>
    <w:rsid w:val="0029105C"/>
    <w:rPr>
      <w:color w:val="538135" w:themeColor="accent6" w:themeShade="BF"/>
    </w:rPr>
  </w:style>
  <w:style w:type="paragraph" w:customStyle="1" w:styleId="Index5">
    <w:name w:val="Index5"/>
    <w:basedOn w:val="Normal"/>
    <w:qFormat/>
    <w:rsid w:val="0029105C"/>
  </w:style>
  <w:style w:type="paragraph" w:customStyle="1" w:styleId="Index6">
    <w:name w:val="Index6"/>
    <w:basedOn w:val="Normal"/>
    <w:qFormat/>
    <w:rsid w:val="0029105C"/>
  </w:style>
  <w:style w:type="paragraph" w:customStyle="1" w:styleId="Index7">
    <w:name w:val="Index7"/>
    <w:basedOn w:val="Normal"/>
    <w:qFormat/>
    <w:rsid w:val="0029105C"/>
  </w:style>
  <w:style w:type="paragraph" w:customStyle="1" w:styleId="Index8">
    <w:name w:val="Index8"/>
    <w:basedOn w:val="Normal"/>
    <w:qFormat/>
    <w:rsid w:val="0029105C"/>
  </w:style>
  <w:style w:type="paragraph" w:customStyle="1" w:styleId="Index9">
    <w:name w:val="Index9"/>
    <w:basedOn w:val="Normal"/>
    <w:qFormat/>
    <w:rsid w:val="0029105C"/>
  </w:style>
  <w:style w:type="paragraph" w:customStyle="1" w:styleId="AltText">
    <w:name w:val="AltText"/>
    <w:basedOn w:val="FigureCaption"/>
    <w:link w:val="AltTextChar"/>
    <w:qFormat/>
    <w:rsid w:val="0029105C"/>
  </w:style>
  <w:style w:type="character" w:customStyle="1" w:styleId="AltTextChar">
    <w:name w:val="AltText Char"/>
    <w:basedOn w:val="FigureCaptionChar"/>
    <w:link w:val="AltText"/>
    <w:rsid w:val="0029105C"/>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29105C"/>
    <w:rPr>
      <w:sz w:val="20"/>
    </w:rPr>
  </w:style>
  <w:style w:type="paragraph" w:customStyle="1" w:styleId="BoxHead5">
    <w:name w:val="BoxHead5"/>
    <w:basedOn w:val="BoxHead4"/>
    <w:next w:val="BoxHead4"/>
    <w:qFormat/>
    <w:rsid w:val="0029105C"/>
    <w:rPr>
      <w:sz w:val="18"/>
    </w:rPr>
  </w:style>
  <w:style w:type="character" w:styleId="UnresolvedMention">
    <w:name w:val="Unresolved Mention"/>
    <w:basedOn w:val="DefaultParagraphFont"/>
    <w:uiPriority w:val="99"/>
    <w:semiHidden/>
    <w:unhideWhenUsed/>
    <w:rsid w:val="00480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ources xmlns:b="http://schemas.openxmlformats.org/officeDocument/2006/bibliography" xmlns="http://schemas.openxmlformats.org/officeDocument/2006/bibliography" SelectedStyle="\CHICAGO.XSL" StyleName="Chicago" Version="16"/>
</file>

<file path=customXml/item2.xml><?xml version="1.0" encoding="utf-8"?>
<Workflow version="v.1.01">
  <Filtration versionrequired="True" status="DONE" StartTime="10-08-2025 17:04:20" EndTime="10-08-2025 17:04:20">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7:04:20" EndTime="10-08-2025 17:04:20">
    <TagMapping status="YTS"/>
    <StyleMapping status="YTS"/>
  </BodyStyling>
  <Reference versionrequired="True" status="DONE" StartTime="10-08-2025 17:04:20" EndTime="10-08-2025 17:04:20"/>
  <CrossLinking versionrequired="True" status="DONE" StartTime="10-08-2025 17:04:20" EndTime="10-08-2025 17:04:20"/>
  <Metadata versionrequired="True" status="DONE" StartTime="10-08-2025 17:07:17" EndTime="10-08-2025 17:07:21">
    <Global>
      <JournalID type="publisher">AJOPHT</JournalID>
      <JournalID type="coden"/>
      <JournalID type="hwp"/>
      <JournalID type="pmc"/>
      <JournalID type="nlmta"/>
      <JournalID type="pmid"/>
      <JournalID type="pumbed"/>
      <JournalID type="doi"/>
      <JournalID type="other"/>
      <JOURNALTITLE>American Journal of Ophthalmology</JOURNALTITLE>
      <JOURNALSUBTITLE/>
      <TRANSJOURNALTITLE/>
      <ABBREVJOURNALTITLE/>
      <ISSNPRINT/>
      <ISSNONLINE/>
      <PUBLISHERNAME/>
      <PUBLISHERLOCATION/>
      <SELFURI/>
      <COPYRIGHTS/>
    </Global>
    <OPENACCESS>
      <OPEN_ACCESS_NO Value="True"/>
      <OPEN_ACCESS_YES/>
      <OPEN_ACCESS_CC_BY/>
      <OPEN_ACCESS_CC_BY_SA/>
      <OPEN_ACCESS_CC_BY_ND/>
      <OPEN_ACCESS_CC_BY_NC/>
      <OPEN_ACCESS_CC_BY_NC_SA/>
      <OPEN_ACCESS_CC_BY_NC_ND/>
    </OPENACCESS>
    <ArticleSpecific metafile="ptsorder.xml">
      <ARTICLEID mandatory="True" active="True" metadata="aid" tagname="">13510</ARTICLEID>
      <DOI mandatory="True" active="True" metadata="doi" tagname="">10.1016/j.ajo.2025.08.006</DOI>
      <PMID mandatory="False" active="False" metadata="" tagname=""/>
      <CODEN mandatory="False" active="False" metadata="" tagname=""/>
      <MANUSCRIPT mandatory="False" active="False" metadata="" tagname=""/>
      <PII mandatory="True" active="True" metadata="pii" tagname="">S0002-9394(25)00412-X</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2025-01-25</HISTORYDATE_RECEIVED>
      <HISTORYDATE_REV-REQUEST mandatory="False" active="False" metadata="" tagname=""/>
      <HISTORYDATE_REV-RECEIVED mandatory="False" active="True" metadata="revised-date" tagname="">2025-07-17</HISTORYDATE_REV-RECEIVED>
      <HISTORYDATE_ACCEPTED mandatory="False" active="True" metadata="accept-date" tagname="">2025-08-06</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PDFGENERATION>Yes</PDFGENERATION>
      <TABLEFONTSIZE>0</TABLEFONTSIZE>
      <TABLEPARAGRAPHINDENT>0,0</TABLEPARAGRAPHINDENT>
      <TABLEPARAGRAPHSPACING>0,0</TABLEPARAGRAPHSPACING>
      <TABLECELLMARGIN>0,0,0,0</TABLECELLMARGIN>
    </XMLValidation>
    <DocValidation status="YTS"/>
  </XmlConversion>
  <DOI versionrequired="True" status="YTS"/>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PDFGENERATION>Yes</PDFGENERATION>
      <TABLEFONTSIZE>0</TABLEFONTSIZE>
      <TABLEPARAGRAPHINDENT>0,0</TABLEPARAGRAPHINDENT>
      <TABLEPARAGRAPHSPACING>0,0</TABLEPARAGRAPHSPACING>
      <TABLECELLMARGIN>0,0,0,0</TABLECELLMARGIN>
    </XMLValidation>
    <DocValidation status="YTS"/>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572A6343-0201-4EB8-A4CE-EAEDB23F461F}">
  <ds:schemaRefs>
    <ds:schemaRef ds:uri="http://schemas.openxmlformats.org/officeDocument/2006/bibliography"/>
  </ds:schemaRefs>
</ds:datastoreItem>
</file>

<file path=customXml/itemProps2.xml><?xml version="1.0" encoding="utf-8"?>
<ds:datastoreItem xmlns:ds="http://schemas.openxmlformats.org/officeDocument/2006/customXml" ds:itemID="{0799C1E3-7CE3-4FD5-84DC-172D25F559F3}">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10192</Words>
  <Characters>61870</Characters>
  <Application>Microsoft Office Word</Application>
  <DocSecurity>0</DocSecurity>
  <Lines>1672</Lines>
  <Paragraphs>1000</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71062</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26</cp:revision>
  <cp:lastPrinted>2025-08-09T18:37:00Z</cp:lastPrinted>
  <dcterms:created xsi:type="dcterms:W3CDTF">2025-08-10T11:06:00Z</dcterms:created>
  <dcterms:modified xsi:type="dcterms:W3CDTF">2025-08-10T11:38:00Z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Metadata</vt:lpwstr>
  </property>
</Properties>
</file>