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D06A" w14:textId="6E0B4D80" w:rsidR="00BC28A2" w:rsidRPr="00BC28A2" w:rsidRDefault="005B1406" w:rsidP="000A6236">
      <w:pPr>
        <w:pStyle w:val="DocHead"/>
      </w:pPr>
      <w:r>
        <w:t>Clinical Review Article</w:t>
      </w:r>
    </w:p>
    <w:p w14:paraId="56F2C932" w14:textId="67A48339" w:rsidR="00F03129" w:rsidRPr="000A6236" w:rsidRDefault="000A6236" w:rsidP="000A6236">
      <w:pPr>
        <w:pStyle w:val="Titledocument"/>
        <w:rPr>
          <w:b/>
        </w:rPr>
      </w:pPr>
      <w:r w:rsidRPr="000A6236">
        <w:rPr>
          <w:b/>
        </w:rPr>
        <w:t>Ketamine for Late-Life Depression: A Systematic Review of Efficacy, Safety, and Tolerability</w:t>
      </w:r>
    </w:p>
    <w:p w14:paraId="7133949C" w14:textId="6C1A2346" w:rsidR="00BC28A2" w:rsidRDefault="00077F32" w:rsidP="00077F32">
      <w:pPr>
        <w:pStyle w:val="Authors"/>
      </w:pPr>
      <w:r w:rsidRPr="00077F32">
        <w:rPr>
          <w:rStyle w:val="FirstName"/>
          <w:bdr w:val="dotted" w:sz="4" w:space="0" w:color="auto"/>
        </w:rPr>
        <w:t>Ronesh</w:t>
      </w:r>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06DC8A8B" w:rsidR="000A6236" w:rsidRPr="0048082A" w:rsidRDefault="0048082A" w:rsidP="0048082A">
      <w:pPr>
        <w:pStyle w:val="Correspondence"/>
      </w:pPr>
      <w:r w:rsidRPr="0048082A">
        <w:rPr>
          <w:vertAlign w:val="superscript"/>
        </w:rPr>
        <w:t>**</w:t>
      </w:r>
      <w:r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Pr="002D45E5"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w:t>
      </w:r>
      <w:r w:rsidRPr="002D45E5">
        <w:lastRenderedPageBreak/>
        <w:t>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77C424FC" w14:textId="44C3871A" w:rsidR="00F03129" w:rsidRPr="0048082A" w:rsidRDefault="0048082A" w:rsidP="0048082A">
      <w:pPr>
        <w:pStyle w:val="Head1"/>
        <w:rPr>
          <w:b/>
        </w:rPr>
      </w:pPr>
      <w:r w:rsidRPr="0048082A">
        <w:rPr>
          <w:b/>
        </w:rPr>
        <w:t>Introduction</w:t>
      </w:r>
    </w:p>
    <w:p w14:paraId="3ACBE2B0" w14:textId="241A1940"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53454DA7" w:rsidR="00BC28A2" w:rsidRPr="008707C4" w:rsidRDefault="005C2519" w:rsidP="005C2519">
      <w:pPr>
        <w:pStyle w:val="Para"/>
      </w:pPr>
      <w:r w:rsidRPr="005C2519">
        <w:t>PubMed, Embase, and PsycINFO databases were searched from inception to December 22, 2024. Search criteria were modelled after a prior systematic review.</w:t>
      </w:r>
      <w:hyperlink w:anchor="bib18" w:history="1">
        <w:r w:rsidRPr="008707C4">
          <w:rPr>
            <w:rStyle w:val="Hyperlink"/>
            <w:vertAlign w:val="superscript"/>
          </w:rPr>
          <w:t>18</w:t>
        </w:r>
      </w:hyperlink>
      <w:r w:rsidRPr="005C2519">
        <w:t xml:space="preserve"> A research librarian was involved in conducting the original search. Keywords included “ketamine” (including “esketamine,” “arketamine,” “ketalar,” and “spravato”) and “depress*”, linked with Boolean operators (AND/OR) where necessary. Complete search criteria are presented in Supplemental </w:t>
      </w:r>
      <w:r w:rsidRPr="008707C4">
        <w:t>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t>Data Extraction</w:t>
      </w:r>
    </w:p>
    <w:p w14:paraId="2D8DA83D" w14:textId="2C1CD88A" w:rsidR="00BC28A2" w:rsidRPr="002D45E5" w:rsidRDefault="005C2519" w:rsidP="002D45E5">
      <w:pPr>
        <w:pStyle w:val="Para"/>
      </w:pPr>
      <w:r w:rsidRPr="002D45E5">
        <w:lastRenderedPageBreak/>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705A3361" w:rsidR="00BC28A2" w:rsidRPr="005C2519" w:rsidRDefault="005C2519" w:rsidP="005C2519">
      <w:pPr>
        <w:pStyle w:val="Para"/>
      </w:pPr>
      <w:r w:rsidRPr="005C2519">
        <w:t>Risk of bias (ROB) for RCTs was performed according to the Cochrane ROB2 guideline with ROBVIS for visualization.</w:t>
      </w:r>
      <w:hyperlink w:anchor="bib20" w:history="1">
        <w:r w:rsidRPr="008707C4">
          <w:rPr>
            <w:rStyle w:val="Hyperlink"/>
            <w:vertAlign w:val="superscript"/>
          </w:rPr>
          <w:t>20</w:t>
        </w:r>
      </w:hyperlink>
      <w:r w:rsidRPr="005C2519">
        <w:t xml:space="preserve"> The Joanna Briggs Institute (JBI) critical appraisal tool for the assessment of risk of bias for quasi-experimental studies was used for all other studies.</w:t>
      </w:r>
      <w:hyperlink w:anchor="bib21" w:history="1">
        <w:r w:rsidRPr="008707C4">
          <w:rPr>
            <w:rStyle w:val="Hyperlink"/>
            <w:vertAlign w:val="superscript"/>
          </w:rPr>
          <w:t>21</w:t>
        </w:r>
      </w:hyperlink>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62909099" w:rsidR="00BC28A2" w:rsidRPr="008707C4" w:rsidRDefault="005C2519" w:rsidP="005C2519">
      <w:pPr>
        <w:pStyle w:val="Para"/>
      </w:pPr>
      <w:r w:rsidRPr="005C2519">
        <w:t>The literature search yielded 3,436 articles. After deduplication, 2831 articles remained. Following abstract screening, 437 underwent full-text review, and 13 met inclusion criteria (</w:t>
      </w:r>
      <w:hyperlink w:anchor="fig1" w:history="1">
        <w:r w:rsidRPr="008707C4">
          <w:rPr>
            <w:rStyle w:val="Hyperlink"/>
          </w:rPr>
          <w:t>Figure 1</w:t>
        </w:r>
      </w:hyperlink>
      <w:r w:rsidRPr="005C2519">
        <w:t>): seven RCTs</w:t>
      </w:r>
      <w:hyperlink w:anchor="bib22" w:history="1">
        <w:r w:rsidRPr="008707C4">
          <w:rPr>
            <w:rStyle w:val="Hyperlink"/>
            <w:vertAlign w:val="superscript"/>
          </w:rPr>
          <w:t>22</w:t>
        </w:r>
      </w:hyperlink>
      <w:r w:rsidRPr="005C2519">
        <w:rPr>
          <w:vertAlign w:val="superscript"/>
        </w:rPr>
        <w:t>–</w:t>
      </w:r>
      <w:hyperlink w:anchor="bib28" w:history="1">
        <w:r w:rsidRPr="008707C4">
          <w:rPr>
            <w:rStyle w:val="Hyperlink"/>
            <w:vertAlign w:val="superscript"/>
          </w:rPr>
          <w:t>28</w:t>
        </w:r>
      </w:hyperlink>
      <w:r w:rsidRPr="005C2519">
        <w:t>, four open-label trials</w:t>
      </w:r>
      <w:hyperlink w:anchor="bib29" w:history="1">
        <w:r w:rsidRPr="008707C4">
          <w:rPr>
            <w:rStyle w:val="Hyperlink"/>
            <w:vertAlign w:val="superscript"/>
          </w:rPr>
          <w:t>29</w:t>
        </w:r>
      </w:hyperlink>
      <w:r w:rsidRPr="005C2519">
        <w:rPr>
          <w:vertAlign w:val="superscript"/>
        </w:rPr>
        <w:t>–</w:t>
      </w:r>
      <w:hyperlink w:anchor="bib32" w:history="1">
        <w:r w:rsidRPr="008707C4">
          <w:rPr>
            <w:rStyle w:val="Hyperlink"/>
            <w:vertAlign w:val="superscript"/>
          </w:rPr>
          <w:t>32</w:t>
        </w:r>
      </w:hyperlink>
      <w:r w:rsidRPr="005C2519">
        <w:t>, and two post-hoc analyses</w:t>
      </w:r>
      <w:hyperlink w:anchor="bib33" w:history="1">
        <w:r w:rsidRPr="008707C4">
          <w:rPr>
            <w:rStyle w:val="Hyperlink"/>
            <w:vertAlign w:val="superscript"/>
          </w:rPr>
          <w:t>33</w:t>
        </w:r>
      </w:hyperlink>
      <w:r w:rsidRPr="005C2519">
        <w:rPr>
          <w:vertAlign w:val="superscript"/>
        </w:rPr>
        <w:t>,</w:t>
      </w:r>
      <w:hyperlink w:anchor="bib34" w:history="1">
        <w:r w:rsidRPr="008707C4">
          <w:rPr>
            <w:rStyle w:val="Hyperlink"/>
            <w:vertAlign w:val="superscript"/>
          </w:rPr>
          <w:t>34</w:t>
        </w:r>
      </w:hyperlink>
      <w:r w:rsidRPr="005C2519">
        <w:t xml:space="preserve">. These included five intranasal (IN) </w:t>
      </w:r>
      <w:hyperlink w:anchor="bib22" w:history="1">
        <w:r w:rsidRPr="008707C4">
          <w:rPr>
            <w:rStyle w:val="Hyperlink"/>
            <w:vertAlign w:val="superscript"/>
          </w:rPr>
          <w:t>22</w:t>
        </w:r>
      </w:hyperlink>
      <w:r w:rsidRPr="005C2519">
        <w:rPr>
          <w:vertAlign w:val="superscript"/>
        </w:rPr>
        <w:t>,</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rPr>
          <w:vertAlign w:val="superscript"/>
        </w:rPr>
        <w:t>,</w:t>
      </w:r>
      <w:hyperlink w:anchor="bib34" w:history="1">
        <w:r w:rsidRPr="008707C4">
          <w:rPr>
            <w:rStyle w:val="Hyperlink"/>
            <w:vertAlign w:val="superscript"/>
          </w:rPr>
          <w:t>34</w:t>
        </w:r>
      </w:hyperlink>
      <w:r w:rsidRPr="005C2519">
        <w:t>, four intravenous (IV)</w:t>
      </w:r>
      <w:hyperlink w:anchor="bib24" w:history="1">
        <w:r w:rsidRPr="008707C4">
          <w:rPr>
            <w:rStyle w:val="Hyperlink"/>
            <w:vertAlign w:val="superscript"/>
          </w:rPr>
          <w:t>24</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r w:rsidRPr="005C2519">
        <w:rPr>
          <w:vertAlign w:val="superscript"/>
        </w:rPr>
        <w:t>,</w:t>
      </w:r>
      <w:hyperlink w:anchor="bib33" w:history="1">
        <w:r w:rsidRPr="008707C4">
          <w:rPr>
            <w:rStyle w:val="Hyperlink"/>
            <w:vertAlign w:val="superscript"/>
          </w:rPr>
          <w:t>33</w:t>
        </w:r>
      </w:hyperlink>
      <w:r w:rsidRPr="005C2519">
        <w:t>, 1 subcutaneous (SC),</w:t>
      </w:r>
      <w:hyperlink w:anchor="bib28" w:history="1">
        <w:r w:rsidRPr="008707C4">
          <w:rPr>
            <w:rStyle w:val="Hyperlink"/>
            <w:vertAlign w:val="superscript"/>
          </w:rPr>
          <w:t>28</w:t>
        </w:r>
      </w:hyperlink>
      <w:r w:rsidRPr="005C2519">
        <w:t xml:space="preserve"> one oral,</w:t>
      </w:r>
      <w:hyperlink w:anchor="bib25" w:history="1">
        <w:r w:rsidRPr="008707C4">
          <w:rPr>
            <w:rStyle w:val="Hyperlink"/>
            <w:vertAlign w:val="superscript"/>
          </w:rPr>
          <w:t>25</w:t>
        </w:r>
      </w:hyperlink>
      <w:r w:rsidRPr="005C2519">
        <w:t xml:space="preserve"> and 2 ketamine combined with ECT studies.</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The total sample comprised 757 adults. Common exclusion criteria included psychiatric or substance use comorbidities, elevated suicide risk, cardiovascular disease, and dementia. Study characteristics are in </w:t>
      </w:r>
      <w:hyperlink w:anchor="tb1" w:history="1">
        <w:r w:rsidRPr="008707C4">
          <w:rPr>
            <w:rStyle w:val="Hyperlink"/>
          </w:rPr>
          <w:t>Table 1</w:t>
        </w:r>
      </w:hyperlink>
      <w:r w:rsidRPr="005C2519">
        <w:t xml:space="preserve">, key findings in </w:t>
      </w:r>
      <w:hyperlink w:anchor="tb2" w:history="1">
        <w:r w:rsidRPr="008707C4">
          <w:rPr>
            <w:rStyle w:val="Hyperlink"/>
          </w:rPr>
          <w:t>Table 2</w:t>
        </w:r>
      </w:hyperlink>
      <w:r w:rsidRPr="005C2519">
        <w:t xml:space="preserve">, risk of bias in </w:t>
      </w:r>
      <w:hyperlink w:anchor="fig2" w:history="1">
        <w:r w:rsidRPr="008707C4">
          <w:rPr>
            <w:rStyle w:val="Hyperlink"/>
          </w:rPr>
          <w:t>Figure 2</w:t>
        </w:r>
      </w:hyperlink>
      <w:r w:rsidRPr="005C2519">
        <w:t xml:space="preserve"> and </w:t>
      </w:r>
      <w:hyperlink w:anchor="tb3" w:history="1">
        <w:r w:rsidRPr="008707C4">
          <w:rPr>
            <w:rStyle w:val="Hyperlink"/>
          </w:rPr>
          <w:t>Table 3</w:t>
        </w:r>
      </w:hyperlink>
      <w:r w:rsidRPr="005C2519">
        <w:t xml:space="preserve">, and GRADE assessments in </w:t>
      </w:r>
      <w:hyperlink w:anchor="tb4" w:history="1">
        <w:r w:rsidRPr="008707C4">
          <w:rPr>
            <w:rStyle w:val="Hyperlink"/>
          </w:rPr>
          <w:t>Table 4</w:t>
        </w:r>
      </w:hyperlink>
      <w:r w:rsidRPr="008707C4">
        <w:t>.</w:t>
      </w:r>
      <w:r w:rsidRPr="005C2519">
        <w:t xml:space="preserve"> </w:t>
      </w:r>
      <w:r w:rsidRPr="005C2519">
        <w:rPr>
          <w:rFonts w:ascii="Arial Unicode MS" w:eastAsia="Arial Unicode MS" w:hAnsi="Arial Unicode MS" w:cs="Arial Unicode MS"/>
        </w:rPr>
        <w:t>Herein, “response” will be defined as a ≥50% reduction in Montgomery–Åsberg Depression Rating Scale (MADRS) score and remission will be defined as MADRS ≤10 unless otherwise specified. “Treatment-resistant depression” (TRD) will be defined as failure of ≥2 adequate antidepressant trials, unless otherwise specified.</w:t>
      </w:r>
      <w:hyperlink w:anchor="bib35" w:history="1">
        <w:r w:rsidRPr="008707C4">
          <w:rPr>
            <w:rStyle w:val="Hyperlink"/>
            <w:vertAlign w:val="superscript"/>
          </w:rPr>
          <w:t>35</w:t>
        </w:r>
      </w:hyperlink>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lastRenderedPageBreak/>
        <w:t>Ochs-Ross et al. (2020) conducted TRANSFORM-3, a double-blind RCT comparing IN esketamine plus oral antidepressant (Esk+Oral AD) to oral antidepressant plus placebo nasal spray in 138 participants aged ≥65 (mean age 70.0, SD 4.52) with treatment-resistant MDE in MDD. All participants started a new oral antidepressant (duloxetine, escitalopram, sertraline, or venlafaxine XR), and esketamine was flexibly dosed (28–84 mg) twice weekly for four weeks. There was no significant difference in mean MADRS score changes from baseline (Esk+Oral AD: 35.5, SD: 5.91; Placebo+Oral AD: 34.8, SD: 6.44) to Day 28 (Esk+Oral AD: 25.4, SD: 12.70); Placebo+Oral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Response and remission rates were higher in the Esk+Oral AD group (27.0% and 17.5%) than placebo (13.3% and 6.7%). TEAEs occurred in 70.8% of Esk+Oral AD and 60.0% of Placebo+Oral AD participants. Most were mild to moderate, with dizziness and nausea being most common. Transient BP elevations occurred in 12.5% of Esk+Oral AD group and UTI in 8.3%. Discontinuation due to severe TEAEs was 5.6% (Esk+Oral AD) vs. 3.1% (Placebo+Oral AD). The only TEAE leading to discontinuation with possible relation to esketamine or the Oral AD was a transient BP increase in 2 participants.</w:t>
      </w:r>
    </w:p>
    <w:p w14:paraId="4C289B1E" w14:textId="385BB2A0" w:rsidR="00BC28A2" w:rsidRPr="005C2519" w:rsidRDefault="005C2519" w:rsidP="005C2519">
      <w:pPr>
        <w:pStyle w:val="Para"/>
      </w:pPr>
      <w:r w:rsidRPr="005C2519">
        <w:t xml:space="preserve">Wajs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esketamine plus oral antidepressant (duloxetine, escitalopram, sertraline, or venlafaxine XR) in treatment-resistant MDE in the context of MDD. Of 802 participants, 178 were ≥65, including 111 who were transferred from TRANSFORM-3. Esketamine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(2023) conducted SUSTAIN-3, an open-label trial of IN esketamine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r w:rsidRPr="005C2519">
        <w:t xml:space="preserve">Oughli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r w:rsidRPr="005C2519">
        <w:t xml:space="preserve">Vanderschelden </w:t>
      </w:r>
      <w:r w:rsidRPr="005C2519">
        <w:rPr>
          <w:i/>
        </w:rPr>
        <w:t xml:space="preserve">et al. </w:t>
      </w:r>
      <w:r w:rsidRPr="005C2519">
        <w:rPr>
          <w:rFonts w:ascii="Arial Unicode MS" w:eastAsia="Arial Unicode MS" w:hAnsi="Arial Unicode MS" w:cs="Arial Unicode MS"/>
        </w:rPr>
        <w:t>(2023) conducted a secondary analysis of the Oughli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remission.T</w:t>
      </w:r>
      <w:r w:rsidRPr="005C2519">
        <w:t>he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r w:rsidRPr="005C2519">
        <w:t xml:space="preserve">Fernie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subanalysis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(“ketofol”) anesthesia for ECT in 157 adults aged ≥60 with MDD. Mean ages were 65.76 (SD 3.98) in the ketofol group and 65.2 (SD 3.92) in the propofol group. Ketofol participants received 0.3 mg/kg ketamine and 1.5 mg/kg propofol; the propofol group received propofol only</w:t>
      </w:r>
      <w:r w:rsidRPr="005C2519">
        <w:t>.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ketofol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0A2C9950"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hyperlink w:anchor="bib17" w:history="1">
        <w:r w:rsidRPr="008707C4">
          <w:rPr>
            <w:rStyle w:val="Hyperlink"/>
            <w:vertAlign w:val="superscript"/>
          </w:rPr>
          <w:t>17</w:t>
        </w:r>
      </w:hyperlink>
      <w:r w:rsidRPr="005C2519">
        <w:rPr>
          <w:vertAlign w:val="superscript"/>
        </w:rPr>
        <w:t>,</w:t>
      </w:r>
      <w:hyperlink w:anchor="bib18" w:history="1">
        <w:r w:rsidRPr="008707C4">
          <w:rPr>
            <w:rStyle w:val="Hyperlink"/>
            <w:vertAlign w:val="superscript"/>
          </w:rPr>
          <w:t>18</w:t>
        </w:r>
      </w:hyperlink>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02C15F87" w:rsidR="00BC28A2" w:rsidRPr="008707C4" w:rsidRDefault="005C2519" w:rsidP="005C2519">
      <w:pPr>
        <w:pStyle w:val="Para"/>
      </w:pPr>
      <w:r w:rsidRPr="005C2519">
        <w:t>Most available evidence pertains to IN and IV ketamine. IN ketamine demonstrated mixed efficacy; in the large RCT TRANSFORM-3, there was a trend toward statistical significance over placebo, though significance was not achieved.</w:t>
      </w:r>
      <w:hyperlink w:anchor="bib23" w:history="1">
        <w:r w:rsidRPr="008707C4">
          <w:rPr>
            <w:rStyle w:val="Hyperlink"/>
            <w:vertAlign w:val="superscript"/>
          </w:rPr>
          <w:t>23</w:t>
        </w:r>
      </w:hyperlink>
      <w:r w:rsidRPr="005C2519">
        <w:t xml:space="preserve"> Factors potentially limiting efficacy included suboptimal dosing and 4-week duration, which may have been insufficient to capture delayed responses.</w:t>
      </w:r>
      <w:hyperlink w:anchor="bib36" w:history="1">
        <w:r w:rsidRPr="008707C4">
          <w:rPr>
            <w:rStyle w:val="Hyperlink"/>
            <w:vertAlign w:val="superscript"/>
          </w:rPr>
          <w:t>36</w:t>
        </w:r>
      </w:hyperlink>
      <w:r w:rsidRPr="005C2519">
        <w:t xml:space="preserve"> Long-term open-label studies of IN ketamine (SUSTAIN-2 and SUSTAIN-3) suggest durable responses lasting up to 160 weeks.</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IV ketamine demonstrated antidepressant effects in open-label and crossover trials, with response and remission rates comparable to younger populations in some cases.</w:t>
      </w:r>
      <w:hyperlink w:anchor="bib30" w:history="1">
        <w:r w:rsidRPr="008707C4">
          <w:rPr>
            <w:rStyle w:val="Hyperlink"/>
            <w:vertAlign w:val="superscript"/>
          </w:rPr>
          <w:t>30</w:t>
        </w:r>
      </w:hyperlink>
    </w:p>
    <w:p w14:paraId="5F94AE3D" w14:textId="28F083CF" w:rsidR="00BC28A2" w:rsidRPr="008707C4" w:rsidRDefault="005C2519" w:rsidP="005C2519">
      <w:pPr>
        <w:pStyle w:val="Para"/>
      </w:pPr>
      <w:r w:rsidRPr="005C2519">
        <w:t>Evidence for SC, oral ketamine, and ketamine as an adjunct in ECT remains limited. George et al. reported favourable remission rates in SC ketamine, suggesting even low doses (0.1 mg/kg) may be effective.</w:t>
      </w:r>
      <w:hyperlink w:anchor="bib28" w:history="1">
        <w:r w:rsidRPr="008707C4">
          <w:rPr>
            <w:rStyle w:val="Hyperlink"/>
            <w:vertAlign w:val="superscript"/>
          </w:rPr>
          <w:t>28</w:t>
        </w:r>
      </w:hyperlink>
      <w:r w:rsidRPr="005C2519">
        <w:t xml:space="preserve"> The sole oral ketamine study in older adults showed no significant effect, though was limited by small sample.</w:t>
      </w:r>
      <w:hyperlink w:anchor="bib25" w:history="1">
        <w:r w:rsidRPr="008707C4">
          <w:rPr>
            <w:rStyle w:val="Hyperlink"/>
            <w:vertAlign w:val="superscript"/>
          </w:rPr>
          <w:t>25</w:t>
        </w:r>
      </w:hyperlink>
      <w:r w:rsidRPr="005C2519">
        <w:t xml:space="preserve"> Two RCTs of ketamine as an ECT adjunct did not find superiority over placebo.</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However, Zou et al. observed reduced post-ECT cognitive impairment with ketofol compared to propofol, suggesting that ketamine may mitigate ECT cognitive side effects.</w:t>
      </w:r>
      <w:hyperlink w:anchor="bib27" w:history="1">
        <w:r w:rsidRPr="008707C4">
          <w:rPr>
            <w:rStyle w:val="Hyperlink"/>
            <w:vertAlign w:val="superscript"/>
          </w:rPr>
          <w:t>27</w:t>
        </w:r>
      </w:hyperlink>
    </w:p>
    <w:p w14:paraId="5813341E" w14:textId="23B423B9"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t xml:space="preserve"> In Oughli et al., prophylactic use of clonidine reduced dissociative and hypertensive AEs, suggesting a strategy to enhance tolerability.</w:t>
      </w:r>
      <w:hyperlink w:anchor="bib30" w:history="1">
        <w:r w:rsidRPr="008707C4">
          <w:rPr>
            <w:rStyle w:val="Hyperlink"/>
            <w:vertAlign w:val="superscript"/>
          </w:rPr>
          <w:t>30</w:t>
        </w:r>
      </w:hyperlink>
      <w:r w:rsidRPr="005C2519">
        <w:t xml:space="preserve"> Discontinuation due to AEs was rare (&lt;8%), and serious AEs were infrequent. No study reported increased rates of cystitis or hepatotoxicity in older versus younger adults.</w:t>
      </w:r>
    </w:p>
    <w:p w14:paraId="28030209" w14:textId="3DFC9808" w:rsidR="00BC28A2" w:rsidRPr="008707C4"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hyperlink w:anchor="bib30" w:history="1">
        <w:r w:rsidRPr="008707C4">
          <w:rPr>
            <w:rStyle w:val="Hyperlink"/>
            <w:vertAlign w:val="superscript"/>
          </w:rPr>
          <w:t>30</w:t>
        </w:r>
      </w:hyperlink>
      <w:r w:rsidRPr="005C2519">
        <w:t xml:space="preserve"> Reaction time results were mixed; small declines were observed in some long-term studies, persisting up to 160 weeks in SUSTAIN-3, though the clinical relevance of this finding remains unclear.</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Notably, several trials excluded individuals with baseline cognitive impairment or major neurocognitive disorder, limiting generalizability.</w:t>
      </w:r>
      <w:hyperlink w:anchor="bib25" w:history="1">
        <w:r w:rsidRPr="008707C4">
          <w:rPr>
            <w:rStyle w:val="Hyperlink"/>
            <w:vertAlign w:val="superscript"/>
          </w:rPr>
          <w:t>25</w:t>
        </w:r>
      </w:hyperlink>
      <w:r w:rsidRPr="005C2519">
        <w:rPr>
          <w:vertAlign w:val="superscript"/>
        </w:rPr>
        <w:t>,</w:t>
      </w:r>
      <w:hyperlink w:anchor="bib26" w:history="1">
        <w:r w:rsidRPr="008707C4">
          <w:rPr>
            <w:rStyle w:val="Hyperlink"/>
            <w:vertAlign w:val="superscript"/>
          </w:rPr>
          <w:t>26</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p>
    <w:p w14:paraId="28F03BE2" w14:textId="48B95718" w:rsidR="00BC28A2" w:rsidRPr="008707C4"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hyperlink w:anchor="bib23" w:history="1">
        <w:r w:rsidRPr="008707C4">
          <w:rPr>
            <w:rStyle w:val="Hyperlink"/>
            <w:vertAlign w:val="superscript"/>
          </w:rPr>
          <w:t>23</w:t>
        </w:r>
      </w:hyperlink>
      <w:r w:rsidRPr="005C2519">
        <w:rPr>
          <w:vertAlign w:val="superscript"/>
        </w:rPr>
        <w:t>,</w:t>
      </w:r>
      <w:hyperlink w:anchor="bib25" w:history="1">
        <w:r w:rsidRPr="008707C4">
          <w:rPr>
            <w:rStyle w:val="Hyperlink"/>
            <w:vertAlign w:val="superscript"/>
          </w:rPr>
          <w:t>25</w:t>
        </w:r>
      </w:hyperlink>
      <w:r w:rsidRPr="005C2519">
        <w:rPr>
          <w:vertAlign w:val="superscript"/>
        </w:rPr>
        <w:t>,</w:t>
      </w:r>
      <w:hyperlink w:anchor="bib34" w:history="1">
        <w:r w:rsidRPr="008707C4">
          <w:rPr>
            <w:rStyle w:val="Hyperlink"/>
            <w:vertAlign w:val="superscript"/>
          </w:rPr>
          <w:t>34</w:t>
        </w:r>
      </w:hyperlink>
      <w:r w:rsidRPr="005C2519">
        <w:rPr>
          <w:vertAlign w:val="superscript"/>
        </w:rPr>
        <w:t>,</w:t>
      </w:r>
      <w:hyperlink w:anchor="bib37" w:history="1">
        <w:r w:rsidRPr="008707C4">
          <w:rPr>
            <w:rStyle w:val="Hyperlink"/>
            <w:vertAlign w:val="superscript"/>
          </w:rPr>
          <w:t>37</w:t>
        </w:r>
      </w:hyperlink>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hyperlink w:anchor="bib34" w:history="1">
        <w:r w:rsidRPr="008707C4">
          <w:rPr>
            <w:rStyle w:val="Hyperlink"/>
            <w:vertAlign w:val="superscript"/>
          </w:rPr>
          <w:t>34</w:t>
        </w:r>
      </w:hyperlink>
    </w:p>
    <w:p w14:paraId="6E2D8C7B" w14:textId="13D4BA9D"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hyperlink w:anchor="bib24" w:history="1">
        <w:r w:rsidRPr="008707C4">
          <w:rPr>
            <w:rStyle w:val="Hyperlink"/>
            <w:vertAlign w:val="superscript"/>
          </w:rPr>
          <w:t>24</w:t>
        </w:r>
      </w:hyperlink>
      <w:r w:rsidRPr="005C2519">
        <w:rPr>
          <w:vertAlign w:val="superscript"/>
        </w:rPr>
        <w:t>,</w:t>
      </w:r>
      <w:hyperlink w:anchor="bib28" w:history="1">
        <w:r w:rsidRPr="008707C4">
          <w:rPr>
            <w:rStyle w:val="Hyperlink"/>
            <w:vertAlign w:val="superscript"/>
          </w:rPr>
          <w:t>28</w:t>
        </w:r>
      </w:hyperlink>
      <w:r w:rsidRPr="005C2519">
        <w:t xml:space="preserve"> Saline and midazolam controls also posed challenges; while midazolam better mimics ketamine to protect blinding, its use in older adults requires caution due to potential cognitive and safety concerns.</w:t>
      </w:r>
      <w:hyperlink w:anchor="bib38" w:history="1">
        <w:r w:rsidRPr="008707C4">
          <w:rPr>
            <w:rStyle w:val="Hyperlink"/>
            <w:vertAlign w:val="superscript"/>
          </w:rPr>
          <w:t>38</w:t>
        </w:r>
      </w:hyperlink>
      <w:r w:rsidRPr="005C2519">
        <w:rPr>
          <w:vertAlign w:val="superscript"/>
        </w:rPr>
        <w:t>,</w:t>
      </w:r>
      <w:hyperlink w:anchor="bib39" w:history="1">
        <w:r w:rsidRPr="008707C4">
          <w:rPr>
            <w:rStyle w:val="Hyperlink"/>
            <w:vertAlign w:val="superscript"/>
          </w:rPr>
          <w:t>39</w:t>
        </w:r>
      </w:hyperlink>
      <w:r w:rsidRPr="005C2519">
        <w:t xml:space="preserve"> In light of these limitations, GRADE evidence certainty was very low to low (</w:t>
      </w:r>
      <w:hyperlink w:anchor="tb4" w:history="1">
        <w:r w:rsidRPr="008707C4">
          <w:rPr>
            <w:rStyle w:val="Hyperlink"/>
          </w:rPr>
          <w:t>Table 4</w:t>
        </w:r>
      </w:hyperlink>
      <w:r w:rsidRPr="005C2519">
        <w:t>).</w:t>
      </w:r>
    </w:p>
    <w:p w14:paraId="341E4E75" w14:textId="0D78320B" w:rsidR="00BC28A2" w:rsidRPr="008707C4"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hyperlink w:anchor="bib34" w:history="1">
        <w:r w:rsidRPr="008707C4">
          <w:rPr>
            <w:rStyle w:val="Hyperlink"/>
            <w:vertAlign w:val="superscript"/>
          </w:rPr>
          <w:t>34</w:t>
        </w:r>
      </w:hyperlink>
      <w:r w:rsidRPr="005C2519">
        <w:rPr>
          <w:vertAlign w:val="superscript"/>
        </w:rPr>
        <w:t>,</w:t>
      </w:r>
      <w:hyperlink w:anchor="bib40" w:history="1">
        <w:r w:rsidRPr="008707C4">
          <w:rPr>
            <w:rStyle w:val="Hyperlink"/>
            <w:vertAlign w:val="superscript"/>
          </w:rPr>
          <w:t>40</w:t>
        </w:r>
      </w:hyperlink>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hyperlink w:anchor="bib41" w:history="1">
        <w:r w:rsidRPr="008707C4">
          <w:rPr>
            <w:rStyle w:val="Hyperlink"/>
            <w:vertAlign w:val="superscript"/>
          </w:rPr>
          <w:t>41</w:t>
        </w:r>
      </w:hyperlink>
    </w:p>
    <w:p w14:paraId="5BFD4A66" w14:textId="77777777" w:rsidR="00DD10B0" w:rsidRDefault="005C2519" w:rsidP="005C2519">
      <w:pPr>
        <w:pStyle w:val="Para"/>
      </w:pPr>
      <w:r w:rsidRPr="005C2519">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r w:rsidRPr="005C2519">
        <w:t>Ronesh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7E90D99E" w14:textId="15F96C6D" w:rsidR="00696D7F" w:rsidRDefault="00696D7F" w:rsidP="00696D7F">
      <w:pPr>
        <w:pStyle w:val="Head1"/>
      </w:pPr>
      <w:r>
        <w:t xml:space="preserve">Uncited </w:t>
      </w:r>
      <w:commentRangeStart w:id="0"/>
      <w:r>
        <w:t>References:</w:t>
      </w:r>
      <w:commentRangeEnd w:id="0"/>
      <w:r>
        <w:rPr>
          <w:rStyle w:val="CommentReference"/>
          <w:rFonts w:asciiTheme="minorHAnsi" w:eastAsiaTheme="minorHAnsi" w:hAnsiTheme="minorHAnsi" w:cstheme="minorBidi"/>
          <w:color w:val="auto"/>
          <w:kern w:val="2"/>
          <w:lang w:val="en-IN"/>
          <w14:ligatures w14:val="standardContextual"/>
        </w:rPr>
        <w:commentReference w:id="0"/>
      </w:r>
    </w:p>
    <w:p w14:paraId="205270A4" w14:textId="3C6AC966" w:rsidR="00696D7F" w:rsidRPr="00696D7F" w:rsidRDefault="00696D7F" w:rsidP="00696D7F">
      <w:pPr>
        <w:pStyle w:val="Para"/>
      </w:pPr>
      <w:r>
        <w:t>[</w:t>
      </w:r>
      <w:hyperlink w:anchor="bib10" w:history="1">
        <w:r w:rsidRPr="00696D7F">
          <w:rPr>
            <w:rStyle w:val="Hyperlink"/>
          </w:rPr>
          <w:t>10</w:t>
        </w:r>
      </w:hyperlink>
      <w:r>
        <w:t xml:space="preserve">, </w:t>
      </w:r>
      <w:hyperlink w:anchor="bib11" w:history="1">
        <w:r w:rsidRPr="00696D7F">
          <w:rPr>
            <w:rStyle w:val="Hyperlink"/>
          </w:rPr>
          <w:t>11</w:t>
        </w:r>
      </w:hyperlink>
      <w:r>
        <w:t xml:space="preserve">, </w:t>
      </w:r>
      <w:hyperlink w:anchor="bib12" w:history="1">
        <w:r w:rsidRPr="00696D7F">
          <w:rPr>
            <w:rStyle w:val="Hyperlink"/>
          </w:rPr>
          <w:t>12</w:t>
        </w:r>
      </w:hyperlink>
      <w:r>
        <w:t xml:space="preserve">, </w:t>
      </w:r>
      <w:hyperlink w:anchor="bib13" w:history="1">
        <w:r w:rsidRPr="00696D7F">
          <w:rPr>
            <w:rStyle w:val="Hyperlink"/>
          </w:rPr>
          <w:t>13</w:t>
        </w:r>
      </w:hyperlink>
      <w:r>
        <w:t xml:space="preserve">, </w:t>
      </w:r>
      <w:hyperlink w:anchor="bib14" w:history="1">
        <w:r w:rsidRPr="00696D7F">
          <w:rPr>
            <w:rStyle w:val="Hyperlink"/>
          </w:rPr>
          <w:t>14</w:t>
        </w:r>
      </w:hyperlink>
      <w:r>
        <w:t xml:space="preserve">, </w:t>
      </w:r>
      <w:hyperlink w:anchor="bib15" w:history="1">
        <w:r w:rsidRPr="00696D7F">
          <w:rPr>
            <w:rStyle w:val="Hyperlink"/>
          </w:rPr>
          <w:t>15</w:t>
        </w:r>
      </w:hyperlink>
      <w:r>
        <w:t xml:space="preserve">, </w:t>
      </w:r>
      <w:hyperlink w:anchor="bib16" w:history="1">
        <w:r w:rsidRPr="00696D7F">
          <w:rPr>
            <w:rStyle w:val="Hyperlink"/>
          </w:rPr>
          <w:t>16</w:t>
        </w:r>
      </w:hyperlink>
      <w:r>
        <w:t xml:space="preserve">, </w:t>
      </w:r>
      <w:hyperlink w:anchor="bib19" w:history="1">
        <w:r w:rsidRPr="00696D7F">
          <w:rPr>
            <w:rStyle w:val="Hyperlink"/>
          </w:rPr>
          <w:t>19</w:t>
        </w:r>
      </w:hyperlink>
      <w:r>
        <w:t>]</w:t>
      </w:r>
    </w:p>
    <w:p w14:paraId="0102F59E" w14:textId="284873D7"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Dr. Roger S. McIntyre has received research grant support from CIHR/GACD/National Natural Science Foundation of China (NSFC) and the Milken Institute; speaker/consultation fees from Lundbeck, Janssen, Alkermes, Neumora Therapeutics, Boehringer Ingelheim, Sage, Biogen, Mitsubishi Tanabe, Purdue, Pfizer, Otsuka, Takeda, Neurocrine, Neurawell, Sunovion, Bausch Health, Axsome, Novo Nordisk, Kris, Sanofi, Eisai, Intra-Cellular, NewBridge Pharmaceuticals, Viatris, Abbvie,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1" w:name="BIBL"/>
      <w:bookmarkEnd w:id="1"/>
    </w:p>
    <w:p w14:paraId="7F1A1554" w14:textId="19DBBE9E" w:rsidR="00F03129" w:rsidRPr="00DD10B0" w:rsidRDefault="00DD10B0" w:rsidP="00DD10B0">
      <w:pPr>
        <w:pStyle w:val="Bibentry"/>
      </w:pPr>
      <w:bookmarkStart w:id="2" w:name="bib1"/>
      <w:bookmarkEnd w:id="2"/>
      <w:r>
        <w:t>&lt;bib id="bib1"</w:t>
      </w:r>
      <w:r w:rsidR="00D7719C">
        <w:t xml:space="preserve"> type="Periodical"</w:t>
      </w:r>
      <w:r>
        <w:t>&gt;&lt;number&gt;1.&lt;/number&gt;</w:t>
      </w:r>
      <w:r w:rsidRPr="004A1F89">
        <w:rPr>
          <w:rStyle w:val="Collab"/>
        </w:rPr>
        <w:t>Global Burden of Disease Study 2013 Collaborators</w:t>
      </w:r>
      <w:r>
        <w:t xml:space="preserve">. </w:t>
      </w:r>
      <w:r>
        <w:rPr>
          <w:rStyle w:val="ArticleTitle"/>
        </w:rPr>
        <w:t>Global, regional, and national incidence, prevalence, and years lived with disability for 301 acute and chronic diseases and injuries in 188 countries, 1990-2013: a systematic analysis for t</w:t>
      </w:r>
      <w:r w:rsidRPr="00AE38FA">
        <w:rPr>
          <w:rStyle w:val="ArticleTitle"/>
        </w:rPr>
        <w:t>he Global Burden of Disease Study</w:t>
      </w:r>
      <w:r>
        <w:t xml:space="preserve"> </w:t>
      </w:r>
      <w:r>
        <w:rPr>
          <w:rStyle w:val="Year"/>
        </w:rPr>
        <w:t>2013</w:t>
      </w:r>
      <w:r>
        <w:t xml:space="preserve">. </w:t>
      </w:r>
      <w:r>
        <w:rPr>
          <w:rStyle w:val="JournalTitle"/>
          <w:i/>
        </w:rPr>
        <w:t>Lancet</w:t>
      </w:r>
      <w:r>
        <w:t xml:space="preserve">. </w:t>
      </w:r>
      <w:r w:rsidRPr="004A1F89">
        <w:rPr>
          <w:rStyle w:val="Year"/>
        </w:rPr>
        <w:t>2015</w:t>
      </w:r>
      <w:r>
        <w:t>;</w:t>
      </w:r>
      <w:r>
        <w:rPr>
          <w:rStyle w:val="Volume"/>
        </w:rPr>
        <w:t>386</w:t>
      </w:r>
      <w:r>
        <w:t>(</w:t>
      </w:r>
      <w:r>
        <w:rPr>
          <w:rStyle w:val="Issue"/>
        </w:rPr>
        <w:t>9995</w:t>
      </w:r>
      <w:r>
        <w:t>):</w:t>
      </w:r>
      <w:r>
        <w:rPr>
          <w:rStyle w:val="Pages"/>
        </w:rPr>
        <w:t>743-800</w:t>
      </w:r>
      <w:r>
        <w:t>.&lt;/bib&gt;</w:t>
      </w:r>
    </w:p>
    <w:p w14:paraId="3CA07DBF" w14:textId="2062E459" w:rsidR="00F03129" w:rsidRPr="00DD10B0" w:rsidRDefault="00DD10B0" w:rsidP="00DD10B0">
      <w:pPr>
        <w:pStyle w:val="Bibentry"/>
      </w:pPr>
      <w:bookmarkStart w:id="3" w:name="bib2"/>
      <w:bookmarkEnd w:id="3"/>
      <w:r>
        <w:t>&lt;bib id="bib2"</w:t>
      </w:r>
      <w:r w:rsidR="00D7719C">
        <w:t xml:space="preserve"> type="Periodical"</w:t>
      </w:r>
      <w:r>
        <w:t>&gt;&lt;number&gt;2.&lt;/number&gt;</w:t>
      </w:r>
      <w:r>
        <w:rPr>
          <w:rStyle w:val="Surname"/>
          <w:bdr w:val="dotted" w:sz="4" w:space="0" w:color="auto"/>
        </w:rPr>
        <w:t>Maj</w:t>
      </w:r>
      <w:r>
        <w:rPr>
          <w:bdr w:val="dotted" w:sz="4" w:space="0" w:color="auto"/>
        </w:rPr>
        <w:t xml:space="preserve"> </w:t>
      </w:r>
      <w:r>
        <w:rPr>
          <w:rStyle w:val="FirstName"/>
          <w:bdr w:val="dotted" w:sz="4" w:space="0" w:color="auto"/>
        </w:rPr>
        <w:t>M</w:t>
      </w:r>
      <w:r>
        <w:t xml:space="preserve">, </w:t>
      </w:r>
      <w:r>
        <w:rPr>
          <w:rStyle w:val="Surname"/>
          <w:bdr w:val="dotted" w:sz="4" w:space="0" w:color="auto"/>
        </w:rPr>
        <w:t>Stein</w:t>
      </w:r>
      <w:r>
        <w:rPr>
          <w:bdr w:val="dotted" w:sz="4" w:space="0" w:color="auto"/>
        </w:rPr>
        <w:t xml:space="preserve"> </w:t>
      </w:r>
      <w:r>
        <w:rPr>
          <w:rStyle w:val="FirstName"/>
          <w:bdr w:val="dotted" w:sz="4" w:space="0" w:color="auto"/>
        </w:rPr>
        <w:t>DJ</w:t>
      </w:r>
      <w:r>
        <w:t xml:space="preserve">, </w:t>
      </w:r>
      <w:r>
        <w:rPr>
          <w:rStyle w:val="Surname"/>
          <w:bdr w:val="dotted" w:sz="4" w:space="0" w:color="auto"/>
        </w:rPr>
        <w:t>Parker</w:t>
      </w:r>
      <w:r>
        <w:rPr>
          <w:bdr w:val="dotted" w:sz="4" w:space="0" w:color="auto"/>
        </w:rPr>
        <w:t xml:space="preserve"> </w:t>
      </w:r>
      <w:r>
        <w:rPr>
          <w:rStyle w:val="FirstName"/>
          <w:bdr w:val="dotted" w:sz="4" w:space="0" w:color="auto"/>
        </w:rPr>
        <w:t>G</w:t>
      </w:r>
      <w:r>
        <w:t xml:space="preserve">, et al. </w:t>
      </w:r>
      <w:r>
        <w:rPr>
          <w:rStyle w:val="JournalTitle"/>
        </w:rPr>
        <w:t xml:space="preserve">The clinical characterization of the adult patient with depression aimed at personalization of management. </w:t>
      </w:r>
      <w:r>
        <w:rPr>
          <w:rStyle w:val="JournalTitle"/>
          <w:i/>
        </w:rPr>
        <w:t>World Psychiatry</w:t>
      </w:r>
      <w:r>
        <w:t xml:space="preserve">. </w:t>
      </w:r>
      <w:r>
        <w:rPr>
          <w:rStyle w:val="Year"/>
        </w:rPr>
        <w:t>2020</w:t>
      </w:r>
      <w:r>
        <w:t>;</w:t>
      </w:r>
      <w:r>
        <w:rPr>
          <w:rStyle w:val="Volume"/>
        </w:rPr>
        <w:t>19</w:t>
      </w:r>
      <w:r>
        <w:t>(</w:t>
      </w:r>
      <w:r>
        <w:rPr>
          <w:rStyle w:val="Issue"/>
        </w:rPr>
        <w:t>3</w:t>
      </w:r>
      <w:r>
        <w:t>):</w:t>
      </w:r>
      <w:r>
        <w:rPr>
          <w:rStyle w:val="Pages"/>
        </w:rPr>
        <w:t>269-293</w:t>
      </w:r>
      <w:r>
        <w:t>.&lt;/bib&gt;</w:t>
      </w:r>
    </w:p>
    <w:p w14:paraId="7404E419" w14:textId="15427ECC" w:rsidR="00F03129" w:rsidRPr="00DD10B0" w:rsidRDefault="00DD10B0" w:rsidP="00DD10B0">
      <w:pPr>
        <w:pStyle w:val="Bibentry"/>
      </w:pPr>
      <w:bookmarkStart w:id="4" w:name="bib3"/>
      <w:bookmarkEnd w:id="4"/>
      <w:r>
        <w:t>&lt;bib id="bib3"</w:t>
      </w:r>
      <w:r w:rsidR="00D7719C">
        <w:t xml:space="preserve"> type="Periodical"</w:t>
      </w:r>
      <w:r>
        <w:t>&gt;&lt;number&gt;3.&lt;/number&gt;</w:t>
      </w:r>
      <w:r w:rsidRPr="004A1F89">
        <w:rPr>
          <w:rStyle w:val="Surname"/>
          <w:bdr w:val="dotted" w:sz="4" w:space="0" w:color="auto"/>
        </w:rPr>
        <w:t>Reynolds</w:t>
      </w:r>
      <w:r w:rsidRPr="004A1F89">
        <w:rPr>
          <w:bdr w:val="dotted" w:sz="4" w:space="0" w:color="auto"/>
        </w:rPr>
        <w:t xml:space="preserve"> </w:t>
      </w:r>
      <w:r w:rsidRPr="004A1F89">
        <w:rPr>
          <w:rStyle w:val="FirstName"/>
          <w:bdr w:val="dotted" w:sz="4" w:space="0" w:color="auto"/>
        </w:rPr>
        <w:t>CF 3rd</w:t>
      </w:r>
      <w:r>
        <w:t xml:space="preserve">, </w:t>
      </w:r>
      <w:r w:rsidRPr="004A1F89">
        <w:rPr>
          <w:rStyle w:val="Surname"/>
          <w:bdr w:val="dotted" w:sz="4" w:space="0" w:color="auto"/>
        </w:rPr>
        <w:t>Jeste</w:t>
      </w:r>
      <w:r w:rsidRPr="004A1F89">
        <w:rPr>
          <w:bdr w:val="dotted" w:sz="4" w:space="0" w:color="auto"/>
        </w:rPr>
        <w:t xml:space="preserve"> </w:t>
      </w:r>
      <w:r w:rsidRPr="004A1F89">
        <w:rPr>
          <w:rStyle w:val="FirstName"/>
          <w:bdr w:val="dotted" w:sz="4" w:space="0" w:color="auto"/>
        </w:rPr>
        <w:t>DV</w:t>
      </w:r>
      <w:r>
        <w:t xml:space="preserve">, </w:t>
      </w:r>
      <w:r w:rsidRPr="004A1F89">
        <w:rPr>
          <w:rStyle w:val="Surname"/>
          <w:bdr w:val="dotted" w:sz="4" w:space="0" w:color="auto"/>
        </w:rPr>
        <w:t>Sachdev</w:t>
      </w:r>
      <w:r w:rsidRPr="004A1F89">
        <w:rPr>
          <w:bdr w:val="dotted" w:sz="4" w:space="0" w:color="auto"/>
        </w:rPr>
        <w:t xml:space="preserve"> </w:t>
      </w:r>
      <w:r w:rsidRPr="004A1F89">
        <w:rPr>
          <w:rStyle w:val="FirstName"/>
          <w:bdr w:val="dotted" w:sz="4" w:space="0" w:color="auto"/>
        </w:rPr>
        <w:t>PS</w:t>
      </w:r>
      <w:r>
        <w:t xml:space="preserve">, </w:t>
      </w:r>
      <w:r w:rsidRPr="004A1F89">
        <w:rPr>
          <w:rStyle w:val="Surname"/>
          <w:bdr w:val="dotted" w:sz="4" w:space="0" w:color="auto"/>
        </w:rPr>
        <w:t>Blazer</w:t>
      </w:r>
      <w:r w:rsidRPr="004A1F89">
        <w:rPr>
          <w:bdr w:val="dotted" w:sz="4" w:space="0" w:color="auto"/>
        </w:rPr>
        <w:t xml:space="preserve"> </w:t>
      </w:r>
      <w:r w:rsidRPr="004A1F89">
        <w:rPr>
          <w:rStyle w:val="FirstName"/>
          <w:bdr w:val="dotted" w:sz="4" w:space="0" w:color="auto"/>
        </w:rPr>
        <w:t>DG</w:t>
      </w:r>
      <w:r>
        <w:t xml:space="preserve">. </w:t>
      </w:r>
      <w:r>
        <w:rPr>
          <w:rStyle w:val="ArticleTitle"/>
        </w:rPr>
        <w:t>Mental health care for older adults: recent advances and new directions in clinical practice and research</w:t>
      </w:r>
      <w:r>
        <w:t xml:space="preserve">. </w:t>
      </w:r>
      <w:r>
        <w:rPr>
          <w:rStyle w:val="JournalTitle"/>
          <w:i/>
        </w:rPr>
        <w:t>World Psychiatry</w:t>
      </w:r>
      <w:r>
        <w:t xml:space="preserve">. </w:t>
      </w:r>
      <w:r>
        <w:rPr>
          <w:rStyle w:val="Year"/>
        </w:rPr>
        <w:t>2022</w:t>
      </w:r>
      <w:r>
        <w:t>;</w:t>
      </w:r>
      <w:r>
        <w:rPr>
          <w:rStyle w:val="Volume"/>
        </w:rPr>
        <w:t>21</w:t>
      </w:r>
      <w:r>
        <w:t>(</w:t>
      </w:r>
      <w:r>
        <w:rPr>
          <w:rStyle w:val="Issue"/>
        </w:rPr>
        <w:t>3</w:t>
      </w:r>
      <w:r>
        <w:t>):</w:t>
      </w:r>
      <w:r>
        <w:rPr>
          <w:rStyle w:val="Pages"/>
        </w:rPr>
        <w:t>336-363</w:t>
      </w:r>
      <w:r>
        <w:t>.&lt;/bib&gt;</w:t>
      </w:r>
    </w:p>
    <w:p w14:paraId="7AAF7981" w14:textId="58751A24" w:rsidR="00F03129" w:rsidRPr="00DD10B0" w:rsidRDefault="00DD10B0" w:rsidP="00DD10B0">
      <w:pPr>
        <w:pStyle w:val="Bibentry"/>
      </w:pPr>
      <w:bookmarkStart w:id="5" w:name="bib4"/>
      <w:bookmarkEnd w:id="5"/>
      <w:r>
        <w:t>&lt;bib id="bib4"</w:t>
      </w:r>
      <w:r w:rsidR="00D7719C">
        <w:t xml:space="preserve"> type="Periodical"</w:t>
      </w:r>
      <w:r>
        <w:t>&gt;&lt;number&gt;4.&lt;/number&gt;</w:t>
      </w:r>
      <w:r>
        <w:rPr>
          <w:rStyle w:val="Surname"/>
          <w:bdr w:val="dotted" w:sz="4" w:space="0" w:color="auto"/>
        </w:rPr>
        <w:t>Zenebe</w:t>
      </w:r>
      <w:r>
        <w:rPr>
          <w:bdr w:val="dotted" w:sz="4" w:space="0" w:color="auto"/>
        </w:rPr>
        <w:t xml:space="preserve"> </w:t>
      </w:r>
      <w:r>
        <w:rPr>
          <w:rStyle w:val="FirstName"/>
          <w:bdr w:val="dotted" w:sz="4" w:space="0" w:color="auto"/>
        </w:rPr>
        <w:t>Y</w:t>
      </w:r>
      <w:r>
        <w:t xml:space="preserve">, </w:t>
      </w:r>
      <w:r>
        <w:rPr>
          <w:rStyle w:val="Surname"/>
          <w:bdr w:val="dotted" w:sz="4" w:space="0" w:color="auto"/>
        </w:rPr>
        <w:t>Akele</w:t>
      </w:r>
      <w:r>
        <w:rPr>
          <w:bdr w:val="dotted" w:sz="4" w:space="0" w:color="auto"/>
        </w:rPr>
        <w:t xml:space="preserve"> </w:t>
      </w:r>
      <w:r>
        <w:rPr>
          <w:rStyle w:val="FirstName"/>
          <w:bdr w:val="dotted" w:sz="4" w:space="0" w:color="auto"/>
        </w:rPr>
        <w:t>B</w:t>
      </w:r>
      <w:r>
        <w:t xml:space="preserve">, </w:t>
      </w:r>
      <w:r>
        <w:rPr>
          <w:rStyle w:val="Surname"/>
          <w:bdr w:val="dotted" w:sz="4" w:space="0" w:color="auto"/>
        </w:rPr>
        <w:t>W/Selassie</w:t>
      </w:r>
      <w:r>
        <w:rPr>
          <w:bdr w:val="dotted" w:sz="4" w:space="0" w:color="auto"/>
        </w:rPr>
        <w:t xml:space="preserve"> </w:t>
      </w:r>
      <w:r>
        <w:rPr>
          <w:rStyle w:val="FirstName"/>
          <w:bdr w:val="dotted" w:sz="4" w:space="0" w:color="auto"/>
        </w:rPr>
        <w:t>M</w:t>
      </w:r>
      <w:r>
        <w:t xml:space="preserve">, </w:t>
      </w:r>
      <w:r>
        <w:rPr>
          <w:rStyle w:val="Surname"/>
          <w:bdr w:val="dotted" w:sz="4" w:space="0" w:color="auto"/>
        </w:rPr>
        <w:t>Necho</w:t>
      </w:r>
      <w:r>
        <w:rPr>
          <w:bdr w:val="dotted" w:sz="4" w:space="0" w:color="auto"/>
        </w:rPr>
        <w:t xml:space="preserve"> </w:t>
      </w:r>
      <w:r>
        <w:rPr>
          <w:rStyle w:val="FirstName"/>
          <w:bdr w:val="dotted" w:sz="4" w:space="0" w:color="auto"/>
        </w:rPr>
        <w:t>M</w:t>
      </w:r>
      <w:r>
        <w:t xml:space="preserve">. </w:t>
      </w:r>
      <w:r>
        <w:rPr>
          <w:rStyle w:val="ArticleTitle"/>
        </w:rPr>
        <w:t>Prevalence and determinants of depression among old age: a systematic review and meta-analysis</w:t>
      </w:r>
      <w:r>
        <w:t xml:space="preserve">. </w:t>
      </w:r>
      <w:r>
        <w:rPr>
          <w:rStyle w:val="JournalTitle"/>
          <w:i/>
        </w:rPr>
        <w:t>Ann Gen Psychiatry</w:t>
      </w:r>
      <w:r>
        <w:t xml:space="preserve">. </w:t>
      </w:r>
      <w:r>
        <w:rPr>
          <w:rStyle w:val="Year"/>
        </w:rPr>
        <w:t>2021</w:t>
      </w:r>
      <w:r>
        <w:t>;</w:t>
      </w:r>
      <w:r>
        <w:rPr>
          <w:rStyle w:val="Volume"/>
        </w:rPr>
        <w:t>20</w:t>
      </w:r>
      <w:r>
        <w:t>(</w:t>
      </w:r>
      <w:r>
        <w:rPr>
          <w:rStyle w:val="Issue"/>
        </w:rPr>
        <w:t>1</w:t>
      </w:r>
      <w:r>
        <w:t>):</w:t>
      </w:r>
      <w:r>
        <w:rPr>
          <w:rStyle w:val="Pages"/>
        </w:rPr>
        <w:t>55</w:t>
      </w:r>
      <w:r>
        <w:t>.&lt;/bib&gt;</w:t>
      </w:r>
    </w:p>
    <w:p w14:paraId="38D555C1" w14:textId="1633C7BA" w:rsidR="00F03129" w:rsidRPr="00DD10B0" w:rsidRDefault="00DD10B0" w:rsidP="00DD10B0">
      <w:pPr>
        <w:pStyle w:val="Bibentry"/>
      </w:pPr>
      <w:bookmarkStart w:id="6" w:name="bib5"/>
      <w:bookmarkEnd w:id="6"/>
      <w:r>
        <w:t>&lt;bib id="bib5"</w:t>
      </w:r>
      <w:r w:rsidR="00D7719C">
        <w:t xml:space="preserve"> type="Periodical"</w:t>
      </w:r>
      <w:r>
        <w:t>&gt;&lt;number&gt;5.&lt;/number&gt;</w:t>
      </w:r>
      <w:r>
        <w:rPr>
          <w:rStyle w:val="Surname"/>
          <w:bdr w:val="dotted" w:sz="4" w:space="0" w:color="auto"/>
        </w:rPr>
        <w:t>Hasin</w:t>
      </w:r>
      <w:r>
        <w:rPr>
          <w:bdr w:val="dotted" w:sz="4" w:space="0" w:color="auto"/>
        </w:rPr>
        <w:t xml:space="preserve"> </w:t>
      </w:r>
      <w:r>
        <w:rPr>
          <w:rStyle w:val="FirstName"/>
          <w:bdr w:val="dotted" w:sz="4" w:space="0" w:color="auto"/>
        </w:rPr>
        <w:t>DS</w:t>
      </w:r>
      <w:r>
        <w:t xml:space="preserve">, </w:t>
      </w:r>
      <w:r>
        <w:rPr>
          <w:rStyle w:val="Surname"/>
          <w:bdr w:val="dotted" w:sz="4" w:space="0" w:color="auto"/>
        </w:rPr>
        <w:t>Sarvet</w:t>
      </w:r>
      <w:r>
        <w:rPr>
          <w:bdr w:val="dotted" w:sz="4" w:space="0" w:color="auto"/>
        </w:rPr>
        <w:t xml:space="preserve"> </w:t>
      </w:r>
      <w:r>
        <w:rPr>
          <w:rStyle w:val="FirstName"/>
          <w:bdr w:val="dotted" w:sz="4" w:space="0" w:color="auto"/>
        </w:rPr>
        <w:t>AL</w:t>
      </w:r>
      <w:r>
        <w:t xml:space="preserve">, </w:t>
      </w:r>
      <w:r>
        <w:rPr>
          <w:rStyle w:val="Surname"/>
          <w:bdr w:val="dotted" w:sz="4" w:space="0" w:color="auto"/>
        </w:rPr>
        <w:t>Meyers</w:t>
      </w:r>
      <w:r>
        <w:rPr>
          <w:bdr w:val="dotted" w:sz="4" w:space="0" w:color="auto"/>
        </w:rPr>
        <w:t xml:space="preserve"> </w:t>
      </w:r>
      <w:r>
        <w:rPr>
          <w:rStyle w:val="FirstName"/>
          <w:bdr w:val="dotted" w:sz="4" w:space="0" w:color="auto"/>
        </w:rPr>
        <w:t>JL</w:t>
      </w:r>
      <w:r>
        <w:t xml:space="preserve">, et al. </w:t>
      </w:r>
      <w:r>
        <w:rPr>
          <w:rStyle w:val="ArticleTitle"/>
        </w:rPr>
        <w:t>Epidemiology of adult DSM-5 major depressive disorder and its specifiers in the United States</w:t>
      </w:r>
      <w:r>
        <w:t xml:space="preserve">. </w:t>
      </w:r>
      <w:r>
        <w:rPr>
          <w:rStyle w:val="JournalTitle"/>
          <w:i/>
        </w:rPr>
        <w:t>JAMA Psychiatry</w:t>
      </w:r>
      <w:r>
        <w:t xml:space="preserve">. </w:t>
      </w:r>
      <w:r>
        <w:rPr>
          <w:rStyle w:val="Year"/>
        </w:rPr>
        <w:t>2018</w:t>
      </w:r>
      <w:r>
        <w:t>;</w:t>
      </w:r>
      <w:r>
        <w:rPr>
          <w:rStyle w:val="Volume"/>
        </w:rPr>
        <w:t>75</w:t>
      </w:r>
      <w:r>
        <w:t>(</w:t>
      </w:r>
      <w:r>
        <w:rPr>
          <w:rStyle w:val="Issue"/>
        </w:rPr>
        <w:t>4</w:t>
      </w:r>
      <w:r>
        <w:t>):</w:t>
      </w:r>
      <w:r>
        <w:rPr>
          <w:rStyle w:val="Pages"/>
        </w:rPr>
        <w:t>336</w:t>
      </w:r>
      <w:r>
        <w:t>.&lt;/bib&gt;</w:t>
      </w:r>
    </w:p>
    <w:p w14:paraId="6B47ABBF" w14:textId="04254BA1" w:rsidR="00F03129" w:rsidRPr="00DD10B0" w:rsidRDefault="00DD10B0" w:rsidP="00DD10B0">
      <w:pPr>
        <w:pStyle w:val="Bibentry"/>
      </w:pPr>
      <w:bookmarkStart w:id="7" w:name="bib6"/>
      <w:bookmarkEnd w:id="7"/>
      <w:r>
        <w:t>&lt;bib id="bib6"</w:t>
      </w:r>
      <w:r w:rsidR="00D7719C">
        <w:t xml:space="preserve"> type="Periodical"</w:t>
      </w:r>
      <w:r>
        <w:t>&gt;&lt;number&gt;6.&lt;/number&gt;</w:t>
      </w:r>
      <w:r>
        <w:rPr>
          <w:rStyle w:val="Surname"/>
          <w:bdr w:val="dotted" w:sz="4" w:space="0" w:color="auto"/>
        </w:rPr>
        <w:t>Azar</w:t>
      </w:r>
      <w:r>
        <w:rPr>
          <w:bdr w:val="dotted" w:sz="4" w:space="0" w:color="auto"/>
        </w:rPr>
        <w:t xml:space="preserve"> </w:t>
      </w:r>
      <w:r>
        <w:rPr>
          <w:rStyle w:val="FirstName"/>
          <w:bdr w:val="dotted" w:sz="4" w:space="0" w:color="auto"/>
        </w:rPr>
        <w:t>AR</w:t>
      </w:r>
      <w:r>
        <w:t xml:space="preserve">, </w:t>
      </w:r>
      <w:r>
        <w:rPr>
          <w:rStyle w:val="Surname"/>
          <w:bdr w:val="dotted" w:sz="4" w:space="0" w:color="auto"/>
        </w:rPr>
        <w:t>Chopra</w:t>
      </w:r>
      <w:r>
        <w:rPr>
          <w:bdr w:val="dotted" w:sz="4" w:space="0" w:color="auto"/>
        </w:rPr>
        <w:t xml:space="preserve"> </w:t>
      </w:r>
      <w:r>
        <w:rPr>
          <w:rStyle w:val="FirstName"/>
          <w:bdr w:val="dotted" w:sz="4" w:space="0" w:color="auto"/>
        </w:rPr>
        <w:t>MP</w:t>
      </w:r>
      <w:r>
        <w:t xml:space="preserve">, </w:t>
      </w:r>
      <w:r>
        <w:rPr>
          <w:rStyle w:val="Surname"/>
          <w:bdr w:val="dotted" w:sz="4" w:space="0" w:color="auto"/>
        </w:rPr>
        <w:t>Cho</w:t>
      </w:r>
      <w:r>
        <w:rPr>
          <w:bdr w:val="dotted" w:sz="4" w:space="0" w:color="auto"/>
        </w:rPr>
        <w:t xml:space="preserve"> </w:t>
      </w:r>
      <w:r>
        <w:rPr>
          <w:rStyle w:val="FirstName"/>
          <w:bdr w:val="dotted" w:sz="4" w:space="0" w:color="auto"/>
        </w:rPr>
        <w:t>LY</w:t>
      </w:r>
      <w:r>
        <w:t xml:space="preserve">, </w:t>
      </w:r>
      <w:r>
        <w:rPr>
          <w:rStyle w:val="Surname"/>
          <w:bdr w:val="dotted" w:sz="4" w:space="0" w:color="auto"/>
        </w:rPr>
        <w:t>Coakley</w:t>
      </w:r>
      <w:r>
        <w:rPr>
          <w:bdr w:val="dotted" w:sz="4" w:space="0" w:color="auto"/>
        </w:rPr>
        <w:t xml:space="preserve"> </w:t>
      </w:r>
      <w:r>
        <w:rPr>
          <w:rStyle w:val="FirstName"/>
          <w:bdr w:val="dotted" w:sz="4" w:space="0" w:color="auto"/>
        </w:rPr>
        <w:t>E</w:t>
      </w:r>
      <w:r>
        <w:t xml:space="preserve">, </w:t>
      </w:r>
      <w:r>
        <w:rPr>
          <w:rStyle w:val="Surname"/>
          <w:bdr w:val="dotted" w:sz="4" w:space="0" w:color="auto"/>
        </w:rPr>
        <w:t>Rudolph</w:t>
      </w:r>
      <w:r>
        <w:rPr>
          <w:bdr w:val="dotted" w:sz="4" w:space="0" w:color="auto"/>
        </w:rPr>
        <w:t xml:space="preserve"> </w:t>
      </w:r>
      <w:r>
        <w:rPr>
          <w:rStyle w:val="FirstName"/>
          <w:bdr w:val="dotted" w:sz="4" w:space="0" w:color="auto"/>
        </w:rPr>
        <w:t>JL.</w:t>
      </w:r>
      <w:r>
        <w:t xml:space="preserve"> </w:t>
      </w:r>
      <w:r>
        <w:rPr>
          <w:rStyle w:val="ArticleTitle"/>
        </w:rPr>
        <w:t>Remission in major depression: results from a geriatric primary care population</w:t>
      </w:r>
      <w:r>
        <w:t xml:space="preserve">. </w:t>
      </w:r>
      <w:r>
        <w:rPr>
          <w:rStyle w:val="JournalTitle"/>
          <w:i/>
        </w:rPr>
        <w:t>Int J Geriatr Psychiatry</w:t>
      </w:r>
      <w:r>
        <w:t xml:space="preserve">. </w:t>
      </w:r>
      <w:r>
        <w:rPr>
          <w:rStyle w:val="Year"/>
        </w:rPr>
        <w:t>2011</w:t>
      </w:r>
      <w:r>
        <w:t>;</w:t>
      </w:r>
      <w:r>
        <w:rPr>
          <w:rStyle w:val="Volume"/>
        </w:rPr>
        <w:t>26</w:t>
      </w:r>
      <w:r>
        <w:t>(</w:t>
      </w:r>
      <w:r>
        <w:rPr>
          <w:rStyle w:val="Issue"/>
        </w:rPr>
        <w:t>1</w:t>
      </w:r>
      <w:r>
        <w:t>):</w:t>
      </w:r>
      <w:r>
        <w:rPr>
          <w:rStyle w:val="Pages"/>
        </w:rPr>
        <w:t>48-55</w:t>
      </w:r>
      <w:r>
        <w:t>.&lt;/bib&gt;</w:t>
      </w:r>
    </w:p>
    <w:p w14:paraId="3794A809" w14:textId="112F6899" w:rsidR="00F03129" w:rsidRPr="00DD10B0" w:rsidRDefault="00DD10B0" w:rsidP="00DD10B0">
      <w:pPr>
        <w:pStyle w:val="Bibentry"/>
      </w:pPr>
      <w:bookmarkStart w:id="8" w:name="bib7"/>
      <w:bookmarkEnd w:id="8"/>
      <w:r>
        <w:t>&lt;bib id="bib7"</w:t>
      </w:r>
      <w:r w:rsidR="00D7719C">
        <w:t xml:space="preserve"> type="Periodical"</w:t>
      </w:r>
      <w:r>
        <w:t>&gt;&lt;number&gt;7.&lt;/number&gt;</w:t>
      </w:r>
      <w:r>
        <w:rPr>
          <w:rStyle w:val="Surname"/>
          <w:bdr w:val="dotted" w:sz="4" w:space="0" w:color="auto"/>
        </w:rPr>
        <w:t>Klotz</w:t>
      </w:r>
      <w:r>
        <w:rPr>
          <w:bdr w:val="dotted" w:sz="4" w:space="0" w:color="auto"/>
        </w:rPr>
        <w:t xml:space="preserve"> </w:t>
      </w:r>
      <w:r>
        <w:rPr>
          <w:rStyle w:val="FirstName"/>
          <w:bdr w:val="dotted" w:sz="4" w:space="0" w:color="auto"/>
        </w:rPr>
        <w:t>U.</w:t>
      </w:r>
      <w:r>
        <w:t xml:space="preserve"> </w:t>
      </w:r>
      <w:r>
        <w:rPr>
          <w:rStyle w:val="ArticleTitle"/>
        </w:rPr>
        <w:t>Pharmacokinetics and drug metabolism in the elderly</w:t>
      </w:r>
      <w:r>
        <w:t xml:space="preserve">. </w:t>
      </w:r>
      <w:r>
        <w:rPr>
          <w:rStyle w:val="JournalTitle"/>
          <w:i/>
        </w:rPr>
        <w:t>Drug Metab Rev</w:t>
      </w:r>
      <w:r>
        <w:t xml:space="preserve">. </w:t>
      </w:r>
      <w:r>
        <w:rPr>
          <w:rStyle w:val="Year"/>
        </w:rPr>
        <w:t>2009</w:t>
      </w:r>
      <w:r>
        <w:t>;</w:t>
      </w:r>
      <w:r>
        <w:rPr>
          <w:rStyle w:val="Volume"/>
        </w:rPr>
        <w:t>41</w:t>
      </w:r>
      <w:r>
        <w:t>(</w:t>
      </w:r>
      <w:r>
        <w:rPr>
          <w:rStyle w:val="Issue"/>
        </w:rPr>
        <w:t>2</w:t>
      </w:r>
      <w:r>
        <w:t>):</w:t>
      </w:r>
      <w:r>
        <w:rPr>
          <w:rStyle w:val="Pages"/>
        </w:rPr>
        <w:t>67-76</w:t>
      </w:r>
      <w:r>
        <w:t>.&lt;/bib&gt;</w:t>
      </w:r>
    </w:p>
    <w:p w14:paraId="5CFF3F9A" w14:textId="73BDC301" w:rsidR="00F03129" w:rsidRPr="00DD10B0" w:rsidRDefault="00DD10B0" w:rsidP="00DD10B0">
      <w:pPr>
        <w:pStyle w:val="Bibentry"/>
      </w:pPr>
      <w:bookmarkStart w:id="9" w:name="bib8"/>
      <w:bookmarkEnd w:id="9"/>
      <w:r>
        <w:t>&lt;bib id="bib8"</w:t>
      </w:r>
      <w:r w:rsidR="00D7719C">
        <w:t xml:space="preserve"> type="Periodical"</w:t>
      </w:r>
      <w:r>
        <w:t>&gt;&lt;number&gt;8.&lt;/number&gt;</w:t>
      </w:r>
      <w:r>
        <w:rPr>
          <w:rStyle w:val="FirstName"/>
          <w:bdr w:val="dotted" w:sz="4" w:space="0" w:color="auto"/>
        </w:rPr>
        <w:t>Canadian Coalition for Seniors’ Mental</w:t>
      </w:r>
      <w:r>
        <w:rPr>
          <w:bdr w:val="dotted" w:sz="4" w:space="0" w:color="auto"/>
        </w:rPr>
        <w:t xml:space="preserve"> </w:t>
      </w:r>
      <w:r>
        <w:rPr>
          <w:rStyle w:val="Surname"/>
          <w:bdr w:val="dotted" w:sz="4" w:space="0" w:color="auto"/>
        </w:rPr>
        <w:t>Health</w:t>
      </w:r>
      <w:r>
        <w:t xml:space="preserve">. </w:t>
      </w:r>
      <w:r>
        <w:rPr>
          <w:rStyle w:val="ArticleTitle"/>
        </w:rPr>
        <w:t>Canadian Guidelines on Prevention, Assessment and Treatment of Depression Among Older Adults</w:t>
      </w:r>
      <w:r>
        <w:t xml:space="preserve">. </w:t>
      </w:r>
      <w:r>
        <w:rPr>
          <w:rStyle w:val="JournalTitle"/>
        </w:rPr>
        <w:t>CCSMH; 2021</w:t>
      </w:r>
      <w:r>
        <w:t xml:space="preserve">. </w:t>
      </w:r>
      <w:r w:rsidRPr="004A1F89">
        <w:rPr>
          <w:rStyle w:val="RefMisc"/>
        </w:rPr>
        <w:t>Updated</w:t>
      </w:r>
      <w:r>
        <w:t xml:space="preserve"> </w:t>
      </w:r>
      <w:r>
        <w:rPr>
          <w:rStyle w:val="Year"/>
        </w:rPr>
        <w:t>June 2021</w:t>
      </w:r>
      <w:r>
        <w:t xml:space="preserve">. </w:t>
      </w:r>
      <w:r>
        <w:rPr>
          <w:rStyle w:val="URL"/>
        </w:rPr>
        <w:t>https://ccsmh.ca/wp-content/uploads/2021/06/CCSMH_Depression_Guidelines_FINAL_EN.pdf</w:t>
      </w:r>
      <w:r>
        <w:t>.&lt;/bib&gt;</w:t>
      </w:r>
    </w:p>
    <w:p w14:paraId="4737EB16" w14:textId="2827A44A" w:rsidR="00F03129" w:rsidRPr="00DD10B0" w:rsidRDefault="00DD10B0" w:rsidP="00DD10B0">
      <w:pPr>
        <w:pStyle w:val="Bibentry"/>
      </w:pPr>
      <w:bookmarkStart w:id="10" w:name="bib9"/>
      <w:bookmarkEnd w:id="10"/>
      <w:r>
        <w:t>&lt;bib id="bib9"</w:t>
      </w:r>
      <w:r w:rsidR="00D7719C">
        <w:t xml:space="preserve"> type="Periodical"</w:t>
      </w:r>
      <w:r>
        <w:t>&gt;&lt;number&gt;9.&lt;/number&gt;</w:t>
      </w:r>
      <w:r>
        <w:rPr>
          <w:rStyle w:val="Surname"/>
          <w:bdr w:val="dotted" w:sz="4" w:space="0" w:color="auto"/>
        </w:rPr>
        <w:t>Avasthi</w:t>
      </w:r>
      <w:r>
        <w:rPr>
          <w:bdr w:val="dotted" w:sz="4" w:space="0" w:color="auto"/>
        </w:rPr>
        <w:t xml:space="preserve"> </w:t>
      </w:r>
      <w:r>
        <w:rPr>
          <w:rStyle w:val="FirstName"/>
          <w:bdr w:val="dotted" w:sz="4" w:space="0" w:color="auto"/>
        </w:rPr>
        <w:t>A</w:t>
      </w:r>
      <w:r>
        <w:t xml:space="preserve">, </w:t>
      </w:r>
      <w:r>
        <w:rPr>
          <w:rStyle w:val="Surname"/>
          <w:bdr w:val="dotted" w:sz="4" w:space="0" w:color="auto"/>
        </w:rPr>
        <w:t>Grover</w:t>
      </w:r>
      <w:r>
        <w:rPr>
          <w:bdr w:val="dotted" w:sz="4" w:space="0" w:color="auto"/>
        </w:rPr>
        <w:t xml:space="preserve"> </w:t>
      </w:r>
      <w:r>
        <w:rPr>
          <w:rStyle w:val="FirstName"/>
          <w:bdr w:val="dotted" w:sz="4" w:space="0" w:color="auto"/>
        </w:rPr>
        <w:t>S.</w:t>
      </w:r>
      <w:r>
        <w:t xml:space="preserve"> </w:t>
      </w:r>
      <w:r>
        <w:rPr>
          <w:rStyle w:val="ArticleTitle"/>
        </w:rPr>
        <w:t>Clinical practice guidelines for management of depression in elderly</w:t>
      </w:r>
      <w:r>
        <w:t xml:space="preserve">. </w:t>
      </w:r>
      <w:r>
        <w:rPr>
          <w:rStyle w:val="JournalTitle"/>
          <w:i/>
        </w:rPr>
        <w:t>Indian J Psychiatry</w:t>
      </w:r>
      <w:r>
        <w:t xml:space="preserve">. </w:t>
      </w:r>
      <w:r>
        <w:rPr>
          <w:rStyle w:val="Year"/>
        </w:rPr>
        <w:t>2018</w:t>
      </w:r>
      <w:r>
        <w:t>;</w:t>
      </w:r>
      <w:r>
        <w:rPr>
          <w:rStyle w:val="Volume"/>
        </w:rPr>
        <w:t>60</w:t>
      </w:r>
      <w:r>
        <w:t>(</w:t>
      </w:r>
      <w:r>
        <w:rPr>
          <w:rStyle w:val="Issue"/>
        </w:rPr>
        <w:t>Suppl 3</w:t>
      </w:r>
      <w:r>
        <w:t>):</w:t>
      </w:r>
      <w:r>
        <w:rPr>
          <w:rStyle w:val="Pages"/>
        </w:rPr>
        <w:t>S341-S362</w:t>
      </w:r>
      <w:r>
        <w:t>.&lt;/bib&gt;</w:t>
      </w:r>
    </w:p>
    <w:p w14:paraId="4742734C" w14:textId="07AA1B60" w:rsidR="00F03129" w:rsidRPr="00DD10B0" w:rsidRDefault="00DD10B0" w:rsidP="00DD10B0">
      <w:pPr>
        <w:pStyle w:val="Bibentry"/>
      </w:pPr>
      <w:bookmarkStart w:id="11" w:name="bib10"/>
      <w:bookmarkEnd w:id="11"/>
      <w:r>
        <w:t>&lt;bib id="bib10"</w:t>
      </w:r>
      <w:r w:rsidR="00D7719C">
        <w:t xml:space="preserve"> type="Periodical"</w:t>
      </w:r>
      <w:r>
        <w:t>&gt;&lt;number&gt;10.&lt;/number&gt;</w:t>
      </w:r>
      <w:r>
        <w:rPr>
          <w:rStyle w:val="Surname"/>
          <w:bdr w:val="dotted" w:sz="4" w:space="0" w:color="auto"/>
        </w:rPr>
        <w:t>Baba</w:t>
      </w:r>
      <w:r>
        <w:rPr>
          <w:bdr w:val="dotted" w:sz="4" w:space="0" w:color="auto"/>
        </w:rPr>
        <w:t xml:space="preserve"> </w:t>
      </w:r>
      <w:r>
        <w:rPr>
          <w:rStyle w:val="FirstName"/>
          <w:bdr w:val="dotted" w:sz="4" w:space="0" w:color="auto"/>
        </w:rPr>
        <w:t>H</w:t>
      </w:r>
      <w:r>
        <w:t xml:space="preserve">, </w:t>
      </w:r>
      <w:r>
        <w:rPr>
          <w:rStyle w:val="Surname"/>
          <w:bdr w:val="dotted" w:sz="4" w:space="0" w:color="auto"/>
        </w:rPr>
        <w:t>Kito</w:t>
      </w:r>
      <w:r>
        <w:rPr>
          <w:bdr w:val="dotted" w:sz="4" w:space="0" w:color="auto"/>
        </w:rPr>
        <w:t xml:space="preserve"> </w:t>
      </w:r>
      <w:r>
        <w:rPr>
          <w:rStyle w:val="FirstName"/>
          <w:bdr w:val="dotted" w:sz="4" w:space="0" w:color="auto"/>
        </w:rPr>
        <w:t>S</w:t>
      </w:r>
      <w:r>
        <w:t xml:space="preserve">, </w:t>
      </w:r>
      <w:r>
        <w:rPr>
          <w:rStyle w:val="Surname"/>
          <w:bdr w:val="dotted" w:sz="4" w:space="0" w:color="auto"/>
        </w:rPr>
        <w:t>Nukariya</w:t>
      </w:r>
      <w:r>
        <w:rPr>
          <w:bdr w:val="dotted" w:sz="4" w:space="0" w:color="auto"/>
        </w:rPr>
        <w:t xml:space="preserve"> </w:t>
      </w:r>
      <w:r>
        <w:rPr>
          <w:rStyle w:val="FirstName"/>
          <w:bdr w:val="dotted" w:sz="4" w:space="0" w:color="auto"/>
        </w:rPr>
        <w:t>K</w:t>
      </w:r>
      <w:r>
        <w:t xml:space="preserve">, et al. </w:t>
      </w:r>
      <w:r>
        <w:rPr>
          <w:rStyle w:val="ArticleTitle"/>
        </w:rPr>
        <w:t>Guidelines for diagnosis and treatment of depression in older adults: A report from the Japanese Society of mood disorders</w:t>
      </w:r>
      <w:r>
        <w:t xml:space="preserve">. </w:t>
      </w:r>
      <w:r>
        <w:rPr>
          <w:rStyle w:val="JournalTitle"/>
          <w:i/>
        </w:rPr>
        <w:t>Psychiatry Clin Neurosci</w:t>
      </w:r>
      <w:r>
        <w:t xml:space="preserve">. </w:t>
      </w:r>
      <w:r>
        <w:rPr>
          <w:rStyle w:val="Year"/>
        </w:rPr>
        <w:t>2022</w:t>
      </w:r>
      <w:r>
        <w:t>;</w:t>
      </w:r>
      <w:r>
        <w:rPr>
          <w:rStyle w:val="Volume"/>
        </w:rPr>
        <w:t>76</w:t>
      </w:r>
      <w:r>
        <w:t>(</w:t>
      </w:r>
      <w:r>
        <w:rPr>
          <w:rStyle w:val="Issue"/>
        </w:rPr>
        <w:t>6</w:t>
      </w:r>
      <w:r>
        <w:t>):</w:t>
      </w:r>
      <w:r>
        <w:rPr>
          <w:rStyle w:val="Pages"/>
        </w:rPr>
        <w:t>222-234</w:t>
      </w:r>
      <w:r>
        <w:t>.&lt;/bib&gt;</w:t>
      </w:r>
    </w:p>
    <w:p w14:paraId="5B4E0F50" w14:textId="6B35A976" w:rsidR="00F03129" w:rsidRPr="00DD10B0" w:rsidRDefault="00DD10B0" w:rsidP="00DD10B0">
      <w:pPr>
        <w:pStyle w:val="Bibentry"/>
      </w:pPr>
      <w:bookmarkStart w:id="12" w:name="bib11"/>
      <w:bookmarkEnd w:id="12"/>
      <w:r>
        <w:t>&lt;bib id="bib11"</w:t>
      </w:r>
      <w:r w:rsidR="00D7719C">
        <w:t xml:space="preserve"> type="Periodical"</w:t>
      </w:r>
      <w:r>
        <w:t>&gt;&lt;number&gt;11.&lt;/number&gt;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Rosenblat</w:t>
      </w:r>
      <w:r>
        <w:rPr>
          <w:bdr w:val="dotted" w:sz="4" w:space="0" w:color="auto"/>
        </w:rPr>
        <w:t xml:space="preserve"> </w:t>
      </w:r>
      <w:r>
        <w:rPr>
          <w:rStyle w:val="FirstName"/>
          <w:bdr w:val="dotted" w:sz="4" w:space="0" w:color="auto"/>
        </w:rPr>
        <w:t>JD</w:t>
      </w:r>
      <w:r>
        <w:t xml:space="preserve">, </w:t>
      </w:r>
      <w:r>
        <w:rPr>
          <w:rStyle w:val="Surname"/>
          <w:bdr w:val="dotted" w:sz="4" w:space="0" w:color="auto"/>
        </w:rPr>
        <w:t>Nemeroff</w:t>
      </w:r>
      <w:r>
        <w:rPr>
          <w:bdr w:val="dotted" w:sz="4" w:space="0" w:color="auto"/>
        </w:rPr>
        <w:t xml:space="preserve"> </w:t>
      </w:r>
      <w:r>
        <w:rPr>
          <w:rStyle w:val="FirstName"/>
          <w:bdr w:val="dotted" w:sz="4" w:space="0" w:color="auto"/>
        </w:rPr>
        <w:t>CB</w:t>
      </w:r>
      <w:r>
        <w:t xml:space="preserve">, et al. </w:t>
      </w:r>
      <w:r>
        <w:rPr>
          <w:rStyle w:val="ArticleTitle"/>
        </w:rPr>
        <w:t>Synthesizing the evidence for ketamine and esketamine in treatment-resistant depression: An international expert opinion on the available evidence and implementation</w:t>
      </w:r>
      <w:r>
        <w:t xml:space="preserve">. </w:t>
      </w:r>
      <w:r>
        <w:rPr>
          <w:rStyle w:val="JournalTitle"/>
          <w:i/>
        </w:rPr>
        <w:t>Am J Psychiatry</w:t>
      </w:r>
      <w:r>
        <w:t xml:space="preserve">. </w:t>
      </w:r>
      <w:r>
        <w:rPr>
          <w:rStyle w:val="Year"/>
        </w:rPr>
        <w:t>2021</w:t>
      </w:r>
      <w:r>
        <w:t>;</w:t>
      </w:r>
      <w:r>
        <w:rPr>
          <w:rStyle w:val="Volume"/>
        </w:rPr>
        <w:t>178</w:t>
      </w:r>
      <w:r>
        <w:t>(</w:t>
      </w:r>
      <w:r>
        <w:rPr>
          <w:rStyle w:val="Issue"/>
        </w:rPr>
        <w:t>5</w:t>
      </w:r>
      <w:r>
        <w:t>):</w:t>
      </w:r>
      <w:r>
        <w:rPr>
          <w:rStyle w:val="Pages"/>
        </w:rPr>
        <w:t>383-399</w:t>
      </w:r>
      <w:r>
        <w:t>.&lt;/bib&gt;</w:t>
      </w:r>
    </w:p>
    <w:p w14:paraId="5CAE4EB2" w14:textId="616E964D" w:rsidR="00F03129" w:rsidRPr="00DD10B0" w:rsidRDefault="00DD10B0" w:rsidP="00DD10B0">
      <w:pPr>
        <w:pStyle w:val="Bibentry"/>
      </w:pPr>
      <w:bookmarkStart w:id="13" w:name="bib12"/>
      <w:bookmarkEnd w:id="13"/>
      <w:r>
        <w:t>&lt;bib id="bib12"</w:t>
      </w:r>
      <w:r w:rsidR="00D7719C">
        <w:t xml:space="preserve"> type="Periodical"</w:t>
      </w:r>
      <w:r>
        <w:t>&gt;&lt;number&gt;12.&lt;/number&gt;</w:t>
      </w:r>
      <w:r>
        <w:rPr>
          <w:rStyle w:val="Surname"/>
          <w:bdr w:val="dotted" w:sz="4" w:space="0" w:color="auto"/>
        </w:rPr>
        <w:t>Cheng</w:t>
      </w:r>
      <w:r>
        <w:rPr>
          <w:bdr w:val="dotted" w:sz="4" w:space="0" w:color="auto"/>
        </w:rPr>
        <w:t xml:space="preserve"> </w:t>
      </w:r>
      <w:r>
        <w:rPr>
          <w:rStyle w:val="FirstName"/>
          <w:bdr w:val="dotted" w:sz="4" w:space="0" w:color="auto"/>
        </w:rPr>
        <w:t>MCH</w:t>
      </w:r>
      <w:r>
        <w:t xml:space="preserve">, </w:t>
      </w:r>
      <w:r>
        <w:rPr>
          <w:rStyle w:val="Surname"/>
          <w:bdr w:val="dotted" w:sz="4" w:space="0" w:color="auto"/>
        </w:rPr>
        <w:t>Dri</w:t>
      </w:r>
      <w:r>
        <w:rPr>
          <w:bdr w:val="dotted" w:sz="4" w:space="0" w:color="auto"/>
        </w:rPr>
        <w:t xml:space="preserve"> </w:t>
      </w:r>
      <w:r>
        <w:rPr>
          <w:rStyle w:val="FirstName"/>
          <w:bdr w:val="dotted" w:sz="4" w:space="0" w:color="auto"/>
        </w:rPr>
        <w:t>CE</w:t>
      </w:r>
      <w:r>
        <w:t xml:space="preserve">, </w:t>
      </w:r>
      <w:r>
        <w:rPr>
          <w:rStyle w:val="Surname"/>
          <w:bdr w:val="dotted" w:sz="4" w:space="0" w:color="auto"/>
        </w:rPr>
        <w:t>Ballum</w:t>
      </w:r>
      <w:r>
        <w:rPr>
          <w:bdr w:val="dotted" w:sz="4" w:space="0" w:color="auto"/>
        </w:rPr>
        <w:t xml:space="preserve"> </w:t>
      </w:r>
      <w:r>
        <w:rPr>
          <w:rStyle w:val="FirstName"/>
          <w:bdr w:val="dotted" w:sz="4" w:space="0" w:color="auto"/>
        </w:rPr>
        <w:t>H</w:t>
      </w:r>
      <w:r>
        <w:t xml:space="preserve">, et al. </w:t>
      </w:r>
      <w:r>
        <w:rPr>
          <w:rStyle w:val="ArticleTitle"/>
        </w:rPr>
        <w:t>The effects of ketamine and esketamine on measures of quality of life in major depressive disorder and treatment-resistant depression: A systematic review</w:t>
      </w:r>
      <w:r>
        <w:t xml:space="preserve">. </w:t>
      </w:r>
      <w:r>
        <w:rPr>
          <w:rStyle w:val="JournalTitle"/>
          <w:i/>
        </w:rPr>
        <w:t>J Affect Disord</w:t>
      </w:r>
      <w:r>
        <w:t xml:space="preserve">. </w:t>
      </w:r>
      <w:r>
        <w:rPr>
          <w:rStyle w:val="Year"/>
        </w:rPr>
        <w:t>2025</w:t>
      </w:r>
      <w:r>
        <w:t>;</w:t>
      </w:r>
      <w:r>
        <w:rPr>
          <w:rStyle w:val="Volume"/>
        </w:rPr>
        <w:t>382</w:t>
      </w:r>
      <w:r>
        <w:t>:</w:t>
      </w:r>
      <w:r>
        <w:rPr>
          <w:rStyle w:val="Pages"/>
        </w:rPr>
        <w:t>438-442</w:t>
      </w:r>
      <w:r>
        <w:t>.&lt;/bib&gt;</w:t>
      </w:r>
    </w:p>
    <w:p w14:paraId="260DEC51" w14:textId="6059B62E" w:rsidR="00F03129" w:rsidRPr="00DD10B0" w:rsidRDefault="00DD10B0" w:rsidP="00DD10B0">
      <w:pPr>
        <w:pStyle w:val="Bibentry"/>
      </w:pPr>
      <w:bookmarkStart w:id="14" w:name="bib13"/>
      <w:bookmarkEnd w:id="14"/>
      <w:r>
        <w:t>&lt;bib id="bib13"</w:t>
      </w:r>
      <w:r w:rsidR="00D7719C">
        <w:t xml:space="preserve"> type="Periodical"</w:t>
      </w:r>
      <w:r>
        <w:t>&gt;&lt;number&gt;13.&lt;/number&gt;</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NB</w:t>
      </w:r>
      <w:r>
        <w:t xml:space="preserve">, et al. </w:t>
      </w:r>
      <w:r>
        <w:rPr>
          <w:rStyle w:val="ArticleTitle"/>
        </w:rPr>
        <w:t>Safety, tolerability, and real-world effectiveness of intravenous ketamine in older adults with treatment-resistant depression: A case series</w:t>
      </w:r>
      <w:r>
        <w:t xml:space="preserve">. </w:t>
      </w:r>
      <w:r>
        <w:rPr>
          <w:rStyle w:val="JournalTitle"/>
          <w:i/>
        </w:rPr>
        <w:t>Am J Geriatr Psychiatry</w:t>
      </w:r>
      <w:r>
        <w:t xml:space="preserve">. </w:t>
      </w:r>
      <w:r>
        <w:rPr>
          <w:rStyle w:val="Year"/>
        </w:rPr>
        <w:t>2021</w:t>
      </w:r>
      <w:r>
        <w:t>;</w:t>
      </w:r>
      <w:r>
        <w:rPr>
          <w:rStyle w:val="Volume"/>
        </w:rPr>
        <w:t>29</w:t>
      </w:r>
      <w:r>
        <w:t>(</w:t>
      </w:r>
      <w:r>
        <w:rPr>
          <w:rStyle w:val="Issue"/>
        </w:rPr>
        <w:t>9</w:t>
      </w:r>
      <w:r>
        <w:t>):</w:t>
      </w:r>
      <w:r>
        <w:rPr>
          <w:rStyle w:val="Pages"/>
        </w:rPr>
        <w:t>899-913</w:t>
      </w:r>
      <w:r>
        <w:t>.&lt;/bib&gt;</w:t>
      </w:r>
    </w:p>
    <w:p w14:paraId="7F2F973E" w14:textId="144024D7" w:rsidR="00F03129" w:rsidRPr="00DD10B0" w:rsidRDefault="00DD10B0" w:rsidP="00DD10B0">
      <w:pPr>
        <w:pStyle w:val="Bibentry"/>
      </w:pPr>
      <w:bookmarkStart w:id="15" w:name="bib14"/>
      <w:bookmarkEnd w:id="15"/>
      <w:r>
        <w:t>&lt;bib id="bib14"</w:t>
      </w:r>
      <w:r w:rsidR="00D7719C">
        <w:t xml:space="preserve"> type="Periodical"</w:t>
      </w:r>
      <w:r>
        <w:t>&gt;&lt;number&gt;14.&lt;/number&gt;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Carvalho</w:t>
      </w:r>
      <w:r>
        <w:rPr>
          <w:bdr w:val="dotted" w:sz="4" w:space="0" w:color="auto"/>
        </w:rPr>
        <w:t xml:space="preserve"> </w:t>
      </w:r>
      <w:r>
        <w:rPr>
          <w:rStyle w:val="FirstName"/>
          <w:bdr w:val="dotted" w:sz="4" w:space="0" w:color="auto"/>
        </w:rPr>
        <w:t>IP</w:t>
      </w:r>
      <w:r>
        <w:t xml:space="preserve">, </w:t>
      </w:r>
      <w:r>
        <w:rPr>
          <w:rStyle w:val="Surname"/>
          <w:bdr w:val="dotted" w:sz="4" w:space="0" w:color="auto"/>
        </w:rPr>
        <w:t>Lui</w:t>
      </w:r>
      <w:r>
        <w:rPr>
          <w:bdr w:val="dotted" w:sz="4" w:space="0" w:color="auto"/>
        </w:rPr>
        <w:t xml:space="preserve"> </w:t>
      </w:r>
      <w:r>
        <w:rPr>
          <w:rStyle w:val="FirstName"/>
          <w:bdr w:val="dotted" w:sz="4" w:space="0" w:color="auto"/>
        </w:rPr>
        <w:t>LMW</w:t>
      </w:r>
      <w:r>
        <w:t xml:space="preserve">, et al. </w:t>
      </w:r>
      <w:r>
        <w:rPr>
          <w:rStyle w:val="ArticleTitle"/>
        </w:rPr>
        <w:t>The effect of intravenous, intranasal, and oral ketamine in mood disorders: A meta-analysis</w:t>
      </w:r>
      <w:r>
        <w:t xml:space="preserve">. </w:t>
      </w:r>
      <w:r>
        <w:rPr>
          <w:rStyle w:val="JournalTitle"/>
          <w:i/>
        </w:rPr>
        <w:t>J Affect Disord</w:t>
      </w:r>
      <w:r>
        <w:t xml:space="preserve">. </w:t>
      </w:r>
      <w:r>
        <w:rPr>
          <w:rStyle w:val="Year"/>
        </w:rPr>
        <w:t>2020</w:t>
      </w:r>
      <w:r>
        <w:t>;</w:t>
      </w:r>
      <w:r>
        <w:rPr>
          <w:rStyle w:val="Volume"/>
        </w:rPr>
        <w:t>276</w:t>
      </w:r>
      <w:r>
        <w:t>:</w:t>
      </w:r>
      <w:r>
        <w:rPr>
          <w:rStyle w:val="Pages"/>
        </w:rPr>
        <w:t>576-584</w:t>
      </w:r>
      <w:r>
        <w:t>.&lt;/bib&gt;</w:t>
      </w:r>
    </w:p>
    <w:p w14:paraId="5FCA3216" w14:textId="44FB5787" w:rsidR="00F03129" w:rsidRPr="00DD10B0" w:rsidRDefault="00DD10B0" w:rsidP="00DD10B0">
      <w:pPr>
        <w:pStyle w:val="Bibentry"/>
      </w:pPr>
      <w:bookmarkStart w:id="16" w:name="bib15"/>
      <w:bookmarkEnd w:id="16"/>
      <w:r>
        <w:t>&lt;bib id="bib15"</w:t>
      </w:r>
      <w:r w:rsidR="00D7719C">
        <w:t xml:space="preserve"> type="Periodical"</w:t>
      </w:r>
      <w:r>
        <w:t>&gt;&lt;number&gt;15.&lt;/number&gt;</w:t>
      </w:r>
      <w:r>
        <w:rPr>
          <w:rStyle w:val="Surname"/>
          <w:bdr w:val="dotted" w:sz="4" w:space="0" w:color="auto"/>
        </w:rPr>
        <w:t>Lee</w:t>
      </w:r>
      <w:r>
        <w:rPr>
          <w:bdr w:val="dotted" w:sz="4" w:space="0" w:color="auto"/>
        </w:rPr>
        <w:t xml:space="preserve"> </w:t>
      </w:r>
      <w:r>
        <w:rPr>
          <w:rStyle w:val="FirstName"/>
          <w:bdr w:val="dotted" w:sz="4" w:space="0" w:color="auto"/>
        </w:rPr>
        <w:t>Y</w:t>
      </w:r>
      <w:r>
        <w:t xml:space="preserve">, </w:t>
      </w:r>
      <w:r>
        <w:rPr>
          <w:rStyle w:val="Surname"/>
          <w:bdr w:val="dotted" w:sz="4" w:space="0" w:color="auto"/>
        </w:rPr>
        <w:t>Syeda</w:t>
      </w:r>
      <w:r>
        <w:rPr>
          <w:bdr w:val="dotted" w:sz="4" w:space="0" w:color="auto"/>
        </w:rPr>
        <w:t xml:space="preserve"> </w:t>
      </w:r>
      <w:r>
        <w:rPr>
          <w:rStyle w:val="FirstName"/>
          <w:bdr w:val="dotted" w:sz="4" w:space="0" w:color="auto"/>
        </w:rPr>
        <w:t>K</w:t>
      </w:r>
      <w:r>
        <w:t xml:space="preserve">, </w:t>
      </w:r>
      <w:r>
        <w:rPr>
          <w:rStyle w:val="Surname"/>
          <w:bdr w:val="dotted" w:sz="4" w:space="0" w:color="auto"/>
        </w:rPr>
        <w:t>Maruschak</w:t>
      </w:r>
      <w:r>
        <w:rPr>
          <w:bdr w:val="dotted" w:sz="4" w:space="0" w:color="auto"/>
        </w:rPr>
        <w:t xml:space="preserve"> </w:t>
      </w:r>
      <w:r>
        <w:rPr>
          <w:rStyle w:val="FirstName"/>
          <w:bdr w:val="dotted" w:sz="4" w:space="0" w:color="auto"/>
        </w:rPr>
        <w:t>NA</w:t>
      </w:r>
      <w:r>
        <w:t xml:space="preserve">, et al. </w:t>
      </w:r>
      <w:r>
        <w:rPr>
          <w:rStyle w:val="ArticleTitle"/>
        </w:rPr>
        <w:t>A new perspective on the anti-suicide effects with ketamine treatment: A procognitive effect</w:t>
      </w:r>
      <w:r>
        <w:t xml:space="preserve">. </w:t>
      </w:r>
      <w:r>
        <w:rPr>
          <w:rStyle w:val="JournalTitle"/>
          <w:i/>
        </w:rPr>
        <w:t>J Clin Psychopharmacol</w:t>
      </w:r>
      <w:r>
        <w:t xml:space="preserve">. </w:t>
      </w:r>
      <w:r>
        <w:rPr>
          <w:rStyle w:val="Year"/>
        </w:rPr>
        <w:t>2016</w:t>
      </w:r>
      <w:r>
        <w:t>;</w:t>
      </w:r>
      <w:r>
        <w:rPr>
          <w:rStyle w:val="Volume"/>
        </w:rPr>
        <w:t>36</w:t>
      </w:r>
      <w:r>
        <w:t>(</w:t>
      </w:r>
      <w:r>
        <w:rPr>
          <w:rStyle w:val="Issue"/>
        </w:rPr>
        <w:t>1</w:t>
      </w:r>
      <w:r>
        <w:t>):</w:t>
      </w:r>
      <w:r>
        <w:rPr>
          <w:rStyle w:val="Pages"/>
        </w:rPr>
        <w:t>50-56</w:t>
      </w:r>
      <w:r>
        <w:t>.&lt;/bib&gt;</w:t>
      </w:r>
    </w:p>
    <w:p w14:paraId="6AF06CE7" w14:textId="7B953F2F" w:rsidR="00F03129" w:rsidRPr="00DD10B0" w:rsidRDefault="00DD10B0" w:rsidP="00DD10B0">
      <w:pPr>
        <w:pStyle w:val="Bibentry"/>
      </w:pPr>
      <w:bookmarkStart w:id="17" w:name="bib16"/>
      <w:bookmarkEnd w:id="17"/>
      <w:r>
        <w:t>&lt;bib id="bib16"</w:t>
      </w:r>
      <w:r w:rsidR="00D7719C">
        <w:t xml:space="preserve"> type="Periodical"</w:t>
      </w:r>
      <w:r>
        <w:t>&gt;&lt;number&gt;16.&lt;/number&gt;</w:t>
      </w:r>
      <w:r>
        <w:rPr>
          <w:rStyle w:val="Surname"/>
          <w:bdr w:val="dotted" w:sz="4" w:space="0" w:color="auto"/>
        </w:rPr>
        <w:t>Xiong</w:t>
      </w:r>
      <w:r>
        <w:rPr>
          <w:bdr w:val="dotted" w:sz="4" w:space="0" w:color="auto"/>
        </w:rPr>
        <w:t xml:space="preserve"> </w:t>
      </w:r>
      <w:r>
        <w:rPr>
          <w:rStyle w:val="FirstName"/>
          <w:bdr w:val="dotted" w:sz="4" w:space="0" w:color="auto"/>
        </w:rPr>
        <w:t>J</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Chen-Li</w:t>
      </w:r>
      <w:r>
        <w:rPr>
          <w:bdr w:val="dotted" w:sz="4" w:space="0" w:color="auto"/>
        </w:rPr>
        <w:t xml:space="preserve"> </w:t>
      </w:r>
      <w:r>
        <w:rPr>
          <w:rStyle w:val="FirstName"/>
          <w:bdr w:val="dotted" w:sz="4" w:space="0" w:color="auto"/>
        </w:rPr>
        <w:t>D</w:t>
      </w:r>
      <w:r>
        <w:t xml:space="preserve">,  et al. </w:t>
      </w:r>
      <w:r>
        <w:rPr>
          <w:rStyle w:val="ArticleTitle"/>
        </w:rPr>
        <w:t>The acute antisuicidal effects of single-dose intravenous ketamine and intranasal esketamine in individuals with major depression and bipolar disorders: A systematic review and meta-analysis</w:t>
      </w:r>
      <w:r>
        <w:t xml:space="preserve">. </w:t>
      </w:r>
      <w:r>
        <w:rPr>
          <w:rStyle w:val="JournalTitle"/>
          <w:i/>
        </w:rPr>
        <w:t>J Psychiatr Res</w:t>
      </w:r>
      <w:r>
        <w:t xml:space="preserve">. </w:t>
      </w:r>
      <w:r>
        <w:rPr>
          <w:rStyle w:val="Year"/>
        </w:rPr>
        <w:t>2021</w:t>
      </w:r>
      <w:r>
        <w:t>;</w:t>
      </w:r>
      <w:r>
        <w:rPr>
          <w:rStyle w:val="Volume"/>
        </w:rPr>
        <w:t>134</w:t>
      </w:r>
      <w:r>
        <w:t>:</w:t>
      </w:r>
      <w:r>
        <w:rPr>
          <w:rStyle w:val="Pages"/>
        </w:rPr>
        <w:t>57-68</w:t>
      </w:r>
      <w:r>
        <w:t>.&lt;/bib&gt;</w:t>
      </w:r>
    </w:p>
    <w:p w14:paraId="248EBDE0" w14:textId="67375CD6" w:rsidR="00F03129" w:rsidRPr="00DD10B0" w:rsidRDefault="00DD10B0" w:rsidP="00DD10B0">
      <w:pPr>
        <w:pStyle w:val="Bibentry"/>
      </w:pPr>
      <w:bookmarkStart w:id="18" w:name="bib17"/>
      <w:bookmarkEnd w:id="18"/>
      <w:r>
        <w:t>&lt;bib id="bib17"</w:t>
      </w:r>
      <w:r w:rsidR="00D7719C">
        <w:t xml:space="preserve"> type="Periodical"</w:t>
      </w:r>
      <w:r>
        <w:t>&gt;&lt;number&gt;17.&lt;/number&gt;</w:t>
      </w:r>
      <w:r>
        <w:rPr>
          <w:rStyle w:val="Surname"/>
          <w:bdr w:val="dotted" w:sz="4" w:space="0" w:color="auto"/>
        </w:rPr>
        <w:t>Gupta</w:t>
      </w:r>
      <w:r>
        <w:rPr>
          <w:bdr w:val="dotted" w:sz="4" w:space="0" w:color="auto"/>
        </w:rPr>
        <w:t xml:space="preserve"> </w:t>
      </w:r>
      <w:r>
        <w:rPr>
          <w:rStyle w:val="FirstName"/>
          <w:bdr w:val="dotted" w:sz="4" w:space="0" w:color="auto"/>
        </w:rPr>
        <w:t>A</w:t>
      </w:r>
      <w:r>
        <w:t xml:space="preserve">, </w:t>
      </w:r>
      <w:r>
        <w:rPr>
          <w:rStyle w:val="Surname"/>
          <w:bdr w:val="dotted" w:sz="4" w:space="0" w:color="auto"/>
        </w:rPr>
        <w:t>Dhar</w:t>
      </w:r>
      <w:r>
        <w:rPr>
          <w:bdr w:val="dotted" w:sz="4" w:space="0" w:color="auto"/>
        </w:rPr>
        <w:t xml:space="preserve"> </w:t>
      </w:r>
      <w:r>
        <w:rPr>
          <w:rStyle w:val="FirstName"/>
          <w:bdr w:val="dotted" w:sz="4" w:space="0" w:color="auto"/>
        </w:rPr>
        <w:t>R</w:t>
      </w:r>
      <w:r>
        <w:t xml:space="preserve">, </w:t>
      </w:r>
      <w:r>
        <w:rPr>
          <w:rStyle w:val="Surname"/>
          <w:bdr w:val="dotted" w:sz="4" w:space="0" w:color="auto"/>
        </w:rPr>
        <w:t>Patadia</w:t>
      </w:r>
      <w:r>
        <w:rPr>
          <w:bdr w:val="dotted" w:sz="4" w:space="0" w:color="auto"/>
        </w:rPr>
        <w:t xml:space="preserve"> </w:t>
      </w:r>
      <w:r>
        <w:rPr>
          <w:rStyle w:val="FirstName"/>
          <w:bdr w:val="dotted" w:sz="4" w:space="0" w:color="auto"/>
        </w:rPr>
        <w:t>P</w:t>
      </w:r>
      <w:r>
        <w:t xml:space="preserve">, et al. </w:t>
      </w:r>
      <w:r>
        <w:rPr>
          <w:rStyle w:val="ArticleTitle"/>
        </w:rPr>
        <w:t>A systematic review of ketamine for the treatment of depression among older adults</w:t>
      </w:r>
      <w:r>
        <w:t xml:space="preserve">. </w:t>
      </w:r>
      <w:r>
        <w:rPr>
          <w:rStyle w:val="JournalTitle"/>
          <w:i/>
        </w:rPr>
        <w:t>Int Psychogeriatr</w:t>
      </w:r>
      <w:r>
        <w:t xml:space="preserve">. </w:t>
      </w:r>
      <w:r>
        <w:rPr>
          <w:rStyle w:val="Year"/>
        </w:rPr>
        <w:t>2021</w:t>
      </w:r>
      <w:r>
        <w:t>;</w:t>
      </w:r>
      <w:r>
        <w:rPr>
          <w:rStyle w:val="Volume"/>
        </w:rPr>
        <w:t>33</w:t>
      </w:r>
      <w:r>
        <w:t>(</w:t>
      </w:r>
      <w:r>
        <w:rPr>
          <w:rStyle w:val="Issue"/>
        </w:rPr>
        <w:t>2</w:t>
      </w:r>
      <w:r>
        <w:t>):</w:t>
      </w:r>
      <w:r>
        <w:rPr>
          <w:rStyle w:val="Pages"/>
        </w:rPr>
        <w:t>179-191</w:t>
      </w:r>
      <w:r>
        <w:t>.&lt;/bib&gt;</w:t>
      </w:r>
    </w:p>
    <w:p w14:paraId="1316F9D8" w14:textId="5FF3DFB6" w:rsidR="00F03129" w:rsidRPr="00DD10B0" w:rsidRDefault="00DD10B0" w:rsidP="00DD10B0">
      <w:pPr>
        <w:pStyle w:val="Bibentry"/>
      </w:pPr>
      <w:bookmarkStart w:id="19" w:name="bib18"/>
      <w:bookmarkEnd w:id="19"/>
      <w:r>
        <w:t>&lt;bib id="bib18"</w:t>
      </w:r>
      <w:r w:rsidR="00D7719C">
        <w:t xml:space="preserve"> type="Periodical"</w:t>
      </w:r>
      <w:r>
        <w:t>&gt;&lt;number&gt;18.&lt;/number&gt;</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Siegel</w:t>
      </w:r>
      <w:r>
        <w:rPr>
          <w:bdr w:val="dotted" w:sz="4" w:space="0" w:color="auto"/>
        </w:rPr>
        <w:t xml:space="preserve"> </w:t>
      </w:r>
      <w:r>
        <w:rPr>
          <w:rStyle w:val="FirstName"/>
          <w:bdr w:val="dotted" w:sz="4" w:space="0" w:color="auto"/>
        </w:rPr>
        <w:t>A</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et al. </w:t>
      </w:r>
      <w:r>
        <w:rPr>
          <w:rStyle w:val="ArticleTitle"/>
        </w:rPr>
        <w:t>The effectiveness, safety and tolerability of ketamine for depression in adolescents and older adults: A systematic review</w:t>
      </w:r>
      <w:r>
        <w:t xml:space="preserve">. </w:t>
      </w:r>
      <w:r>
        <w:rPr>
          <w:rStyle w:val="JournalTitle"/>
          <w:i/>
        </w:rPr>
        <w:t>J Psychiatr Res</w:t>
      </w:r>
      <w:r>
        <w:t xml:space="preserve">. </w:t>
      </w:r>
      <w:r>
        <w:rPr>
          <w:rStyle w:val="Year"/>
        </w:rPr>
        <w:t>2021</w:t>
      </w:r>
      <w:r>
        <w:t>;</w:t>
      </w:r>
      <w:r>
        <w:rPr>
          <w:rStyle w:val="Volume"/>
        </w:rPr>
        <w:t>137</w:t>
      </w:r>
      <w:r>
        <w:t>:</w:t>
      </w:r>
      <w:r>
        <w:rPr>
          <w:rStyle w:val="Pages"/>
        </w:rPr>
        <w:t>232-241</w:t>
      </w:r>
      <w:r>
        <w:t>.&lt;/bib&gt;</w:t>
      </w:r>
    </w:p>
    <w:p w14:paraId="737B812C" w14:textId="35396B66" w:rsidR="00F03129" w:rsidRPr="00DD10B0" w:rsidRDefault="00DD10B0" w:rsidP="00DD10B0">
      <w:pPr>
        <w:pStyle w:val="Bibentry"/>
      </w:pPr>
      <w:bookmarkStart w:id="20" w:name="bib19"/>
      <w:bookmarkEnd w:id="20"/>
      <w:r>
        <w:t>&lt;bib id="bib19"</w:t>
      </w:r>
      <w:r w:rsidR="00D7719C">
        <w:t xml:space="preserve"> type="Periodical"</w:t>
      </w:r>
      <w:r>
        <w:t>&gt;&lt;number&gt;19.&lt;/number&gt;</w:t>
      </w:r>
      <w:r>
        <w:rPr>
          <w:rStyle w:val="Surname"/>
          <w:bdr w:val="dotted" w:sz="4" w:space="0" w:color="auto"/>
        </w:rPr>
        <w:t>Page</w:t>
      </w:r>
      <w:r>
        <w:rPr>
          <w:bdr w:val="dotted" w:sz="4" w:space="0" w:color="auto"/>
        </w:rPr>
        <w:t xml:space="preserve"> </w:t>
      </w:r>
      <w:r>
        <w:rPr>
          <w:rStyle w:val="FirstName"/>
          <w:bdr w:val="dotted" w:sz="4" w:space="0" w:color="auto"/>
        </w:rPr>
        <w:t>MJ</w:t>
      </w:r>
      <w:r>
        <w:t xml:space="preserve">, </w:t>
      </w:r>
      <w:r>
        <w:rPr>
          <w:rStyle w:val="Surname"/>
          <w:bdr w:val="dotted" w:sz="4" w:space="0" w:color="auto"/>
        </w:rPr>
        <w:t>McKenzie</w:t>
      </w:r>
      <w:r>
        <w:rPr>
          <w:bdr w:val="dotted" w:sz="4" w:space="0" w:color="auto"/>
        </w:rPr>
        <w:t xml:space="preserve"> </w:t>
      </w:r>
      <w:r>
        <w:rPr>
          <w:rStyle w:val="FirstName"/>
          <w:bdr w:val="dotted" w:sz="4" w:space="0" w:color="auto"/>
        </w:rPr>
        <w:t>JE</w:t>
      </w:r>
      <w:r>
        <w:t xml:space="preserve">, </w:t>
      </w:r>
      <w:r>
        <w:rPr>
          <w:rStyle w:val="Surname"/>
          <w:bdr w:val="dotted" w:sz="4" w:space="0" w:color="auto"/>
        </w:rPr>
        <w:t>Bossuyt</w:t>
      </w:r>
      <w:r>
        <w:rPr>
          <w:bdr w:val="dotted" w:sz="4" w:space="0" w:color="auto"/>
        </w:rPr>
        <w:t xml:space="preserve"> </w:t>
      </w:r>
      <w:r>
        <w:rPr>
          <w:rStyle w:val="FirstName"/>
          <w:bdr w:val="dotted" w:sz="4" w:space="0" w:color="auto"/>
        </w:rPr>
        <w:t>PM</w:t>
      </w:r>
      <w:r>
        <w:t xml:space="preserve">, et al. </w:t>
      </w:r>
      <w:r>
        <w:rPr>
          <w:rStyle w:val="ArticleTitle"/>
        </w:rPr>
        <w:t>The PRISMA 2020 statement: an updated guideline for reporting systematic reviews</w:t>
      </w:r>
      <w:r>
        <w:t xml:space="preserve">. </w:t>
      </w:r>
      <w:r>
        <w:rPr>
          <w:rStyle w:val="JournalTitle"/>
          <w:i/>
        </w:rPr>
        <w:t>BMJ</w:t>
      </w:r>
      <w:r>
        <w:t xml:space="preserve">. </w:t>
      </w:r>
      <w:r>
        <w:rPr>
          <w:rStyle w:val="Year"/>
        </w:rPr>
        <w:t>2021</w:t>
      </w:r>
      <w:r>
        <w:t>;</w:t>
      </w:r>
      <w:r>
        <w:rPr>
          <w:rStyle w:val="Volume"/>
        </w:rPr>
        <w:t>372</w:t>
      </w:r>
      <w:r>
        <w:t>:</w:t>
      </w:r>
      <w:r>
        <w:rPr>
          <w:rStyle w:val="Pages"/>
        </w:rPr>
        <w:t>n71</w:t>
      </w:r>
      <w:r>
        <w:t>.&lt;/bib&gt;</w:t>
      </w:r>
    </w:p>
    <w:p w14:paraId="64176D8B" w14:textId="0B8EC400" w:rsidR="00F03129" w:rsidRPr="00DD10B0" w:rsidRDefault="00DD10B0" w:rsidP="00DD10B0">
      <w:pPr>
        <w:pStyle w:val="Bibentry"/>
      </w:pPr>
      <w:bookmarkStart w:id="21" w:name="bib20"/>
      <w:bookmarkEnd w:id="21"/>
      <w:r>
        <w:t>&lt;bib id="bib20"</w:t>
      </w:r>
      <w:r w:rsidR="00D7719C">
        <w:t xml:space="preserve"> type="Periodical"</w:t>
      </w:r>
      <w:r>
        <w:t>&gt;&lt;number&gt;20.&lt;/number&gt;</w:t>
      </w:r>
      <w:r>
        <w:rPr>
          <w:rStyle w:val="Surname"/>
          <w:bdr w:val="dotted" w:sz="4" w:space="0" w:color="auto"/>
        </w:rPr>
        <w:t>Sterne</w:t>
      </w:r>
      <w:r>
        <w:rPr>
          <w:bdr w:val="dotted" w:sz="4" w:space="0" w:color="auto"/>
        </w:rPr>
        <w:t xml:space="preserve"> </w:t>
      </w:r>
      <w:r>
        <w:rPr>
          <w:rStyle w:val="FirstName"/>
          <w:bdr w:val="dotted" w:sz="4" w:space="0" w:color="auto"/>
        </w:rPr>
        <w:t>JAC</w:t>
      </w:r>
      <w:r>
        <w:t xml:space="preserve">, </w:t>
      </w:r>
      <w:r>
        <w:rPr>
          <w:rStyle w:val="Surname"/>
          <w:bdr w:val="dotted" w:sz="4" w:space="0" w:color="auto"/>
        </w:rPr>
        <w:t>Savović</w:t>
      </w:r>
      <w:r>
        <w:rPr>
          <w:bdr w:val="dotted" w:sz="4" w:space="0" w:color="auto"/>
        </w:rPr>
        <w:t xml:space="preserve"> </w:t>
      </w:r>
      <w:r>
        <w:rPr>
          <w:rStyle w:val="FirstName"/>
          <w:bdr w:val="dotted" w:sz="4" w:space="0" w:color="auto"/>
        </w:rPr>
        <w:t>J</w:t>
      </w:r>
      <w:r>
        <w:t xml:space="preserve">, </w:t>
      </w:r>
      <w:r>
        <w:rPr>
          <w:rStyle w:val="Surname"/>
          <w:bdr w:val="dotted" w:sz="4" w:space="0" w:color="auto"/>
        </w:rPr>
        <w:t>Page</w:t>
      </w:r>
      <w:r>
        <w:rPr>
          <w:bdr w:val="dotted" w:sz="4" w:space="0" w:color="auto"/>
        </w:rPr>
        <w:t xml:space="preserve"> </w:t>
      </w:r>
      <w:r>
        <w:rPr>
          <w:rStyle w:val="FirstName"/>
          <w:bdr w:val="dotted" w:sz="4" w:space="0" w:color="auto"/>
        </w:rPr>
        <w:t>MJ</w:t>
      </w:r>
      <w:r>
        <w:t xml:space="preserve">, et al. </w:t>
      </w:r>
      <w:r>
        <w:rPr>
          <w:rStyle w:val="ArticleTitle"/>
        </w:rPr>
        <w:t>RoB 2: a revised tool for assessing risk of bias in randomised trials</w:t>
      </w:r>
      <w:r>
        <w:t xml:space="preserve">. </w:t>
      </w:r>
      <w:r>
        <w:rPr>
          <w:rStyle w:val="JournalTitle"/>
          <w:i/>
        </w:rPr>
        <w:t>BMJ</w:t>
      </w:r>
      <w:r>
        <w:t xml:space="preserve">. </w:t>
      </w:r>
      <w:r>
        <w:rPr>
          <w:rStyle w:val="Year"/>
        </w:rPr>
        <w:t>2019</w:t>
      </w:r>
      <w:r>
        <w:t>;</w:t>
      </w:r>
      <w:r>
        <w:rPr>
          <w:rStyle w:val="Volume"/>
        </w:rPr>
        <w:t>366</w:t>
      </w:r>
      <w:r>
        <w:t>:</w:t>
      </w:r>
      <w:r>
        <w:rPr>
          <w:rStyle w:val="Pages"/>
        </w:rPr>
        <w:t>l4898</w:t>
      </w:r>
      <w:r>
        <w:t>.&lt;/bib&gt;</w:t>
      </w:r>
    </w:p>
    <w:p w14:paraId="71D2515F" w14:textId="5B053713" w:rsidR="00F03129" w:rsidRPr="00DD10B0" w:rsidRDefault="00DD10B0" w:rsidP="00DD10B0">
      <w:pPr>
        <w:pStyle w:val="Bibentry"/>
      </w:pPr>
      <w:bookmarkStart w:id="22" w:name="bib21"/>
      <w:bookmarkEnd w:id="22"/>
      <w:r>
        <w:t>&lt;bib id="bib21"</w:t>
      </w:r>
      <w:r w:rsidR="00D7719C">
        <w:t xml:space="preserve"> type="Periodical"</w:t>
      </w:r>
      <w:r>
        <w:t>&gt;&lt;number&gt;21.&lt;/number&gt;</w:t>
      </w:r>
      <w:r>
        <w:rPr>
          <w:rStyle w:val="Surname"/>
          <w:bdr w:val="dotted" w:sz="4" w:space="0" w:color="auto"/>
        </w:rPr>
        <w:t>Barker</w:t>
      </w:r>
      <w:r>
        <w:rPr>
          <w:bdr w:val="dotted" w:sz="4" w:space="0" w:color="auto"/>
        </w:rPr>
        <w:t xml:space="preserve"> </w:t>
      </w:r>
      <w:r>
        <w:rPr>
          <w:rStyle w:val="FirstName"/>
          <w:bdr w:val="dotted" w:sz="4" w:space="0" w:color="auto"/>
        </w:rPr>
        <w:t>TH</w:t>
      </w:r>
      <w:r>
        <w:t xml:space="preserve">, </w:t>
      </w:r>
      <w:r>
        <w:rPr>
          <w:rStyle w:val="Surname"/>
          <w:bdr w:val="dotted" w:sz="4" w:space="0" w:color="auto"/>
        </w:rPr>
        <w:t>Habibi</w:t>
      </w:r>
      <w:r>
        <w:rPr>
          <w:bdr w:val="dotted" w:sz="4" w:space="0" w:color="auto"/>
        </w:rPr>
        <w:t xml:space="preserve"> </w:t>
      </w:r>
      <w:r>
        <w:rPr>
          <w:rStyle w:val="FirstName"/>
          <w:bdr w:val="dotted" w:sz="4" w:space="0" w:color="auto"/>
        </w:rPr>
        <w:t>N</w:t>
      </w:r>
      <w:r>
        <w:t xml:space="preserve">, </w:t>
      </w:r>
      <w:r>
        <w:rPr>
          <w:rStyle w:val="Surname"/>
          <w:bdr w:val="dotted" w:sz="4" w:space="0" w:color="auto"/>
        </w:rPr>
        <w:t>Aromataris</w:t>
      </w:r>
      <w:r>
        <w:rPr>
          <w:bdr w:val="dotted" w:sz="4" w:space="0" w:color="auto"/>
        </w:rPr>
        <w:t xml:space="preserve"> </w:t>
      </w:r>
      <w:r>
        <w:rPr>
          <w:rStyle w:val="FirstName"/>
          <w:bdr w:val="dotted" w:sz="4" w:space="0" w:color="auto"/>
        </w:rPr>
        <w:t>E</w:t>
      </w:r>
      <w:r>
        <w:t xml:space="preserve">, et al. </w:t>
      </w:r>
      <w:r>
        <w:rPr>
          <w:rStyle w:val="ArticleTitle"/>
        </w:rPr>
        <w:t>The revised JBI critical appraisal tool for the assessment of risk of bias for quasi-experimental studies</w:t>
      </w:r>
      <w:r>
        <w:t xml:space="preserve">. </w:t>
      </w:r>
      <w:r>
        <w:rPr>
          <w:rStyle w:val="JournalTitle"/>
          <w:i/>
        </w:rPr>
        <w:t>JBI Evid Synth</w:t>
      </w:r>
      <w:r>
        <w:t xml:space="preserve">. </w:t>
      </w:r>
      <w:r>
        <w:rPr>
          <w:rStyle w:val="Year"/>
        </w:rPr>
        <w:t>2024</w:t>
      </w:r>
      <w:r>
        <w:t>;</w:t>
      </w:r>
      <w:r>
        <w:rPr>
          <w:rStyle w:val="Volume"/>
        </w:rPr>
        <w:t>22</w:t>
      </w:r>
      <w:r>
        <w:t>(</w:t>
      </w:r>
      <w:r>
        <w:rPr>
          <w:rStyle w:val="Issue"/>
        </w:rPr>
        <w:t>3</w:t>
      </w:r>
      <w:r>
        <w:t>):</w:t>
      </w:r>
      <w:r>
        <w:rPr>
          <w:rStyle w:val="Pages"/>
        </w:rPr>
        <w:t>378-388</w:t>
      </w:r>
      <w:r>
        <w:t>.&lt;/bib&gt;</w:t>
      </w:r>
    </w:p>
    <w:p w14:paraId="2C88AE96" w14:textId="3FFFC25D" w:rsidR="00F03129" w:rsidRPr="00DD10B0" w:rsidRDefault="00DD10B0" w:rsidP="00DD10B0">
      <w:pPr>
        <w:pStyle w:val="Bibentry"/>
      </w:pPr>
      <w:bookmarkStart w:id="23" w:name="bib22"/>
      <w:bookmarkEnd w:id="23"/>
      <w:r>
        <w:t>&lt;bib id="bib22"</w:t>
      </w:r>
      <w:r w:rsidR="00D7719C">
        <w:t xml:space="preserve"> type="Periodical"</w:t>
      </w:r>
      <w:r>
        <w:t>&gt;&lt;number&gt;22.&lt;/number&gt;</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Li</w:t>
      </w:r>
      <w:r>
        <w:rPr>
          <w:bdr w:val="dotted" w:sz="4" w:space="0" w:color="auto"/>
        </w:rPr>
        <w:t xml:space="preserve"> </w:t>
      </w:r>
      <w:r>
        <w:rPr>
          <w:rStyle w:val="FirstName"/>
          <w:bdr w:val="dotted" w:sz="4" w:space="0" w:color="auto"/>
        </w:rPr>
        <w:t>A</w:t>
      </w:r>
      <w:r>
        <w:t xml:space="preserve">, </w:t>
      </w:r>
      <w:r>
        <w:rPr>
          <w:rStyle w:val="Surname"/>
          <w:bdr w:val="dotted" w:sz="4" w:space="0" w:color="auto"/>
        </w:rPr>
        <w:t>Huggins</w:t>
      </w:r>
      <w:r>
        <w:rPr>
          <w:bdr w:val="dotted" w:sz="4" w:space="0" w:color="auto"/>
        </w:rPr>
        <w:t xml:space="preserve"> </w:t>
      </w:r>
      <w:r>
        <w:rPr>
          <w:rStyle w:val="FirstName"/>
          <w:bdr w:val="dotted" w:sz="4" w:space="0" w:color="auto"/>
        </w:rPr>
        <w:t>C</w:t>
      </w:r>
      <w:r>
        <w:t xml:space="preserve">, et al. </w:t>
      </w:r>
      <w:r>
        <w:rPr>
          <w:rStyle w:val="ArticleTitle"/>
        </w:rPr>
        <w:t>Repeated intranasal ketamine for treatment-resistant depression - the way to go? Results from a pilot randomised controlled trial</w:t>
      </w:r>
      <w:r>
        <w:t xml:space="preserve">. </w:t>
      </w:r>
      <w:r>
        <w:rPr>
          <w:rStyle w:val="JournalTitle"/>
          <w:i/>
        </w:rPr>
        <w:t>J Psychopharmacol</w:t>
      </w:r>
      <w:r>
        <w:t xml:space="preserve">. </w:t>
      </w:r>
      <w:r>
        <w:rPr>
          <w:rStyle w:val="Year"/>
        </w:rPr>
        <w:t>2018</w:t>
      </w:r>
      <w:r>
        <w:t>;</w:t>
      </w:r>
      <w:r>
        <w:rPr>
          <w:rStyle w:val="Volume"/>
        </w:rPr>
        <w:t>32</w:t>
      </w:r>
      <w:r>
        <w:t>(</w:t>
      </w:r>
      <w:r>
        <w:rPr>
          <w:rStyle w:val="Issue"/>
        </w:rPr>
        <w:t>4</w:t>
      </w:r>
      <w:r>
        <w:t>):</w:t>
      </w:r>
      <w:r>
        <w:rPr>
          <w:rStyle w:val="Pages"/>
        </w:rPr>
        <w:t>397-407</w:t>
      </w:r>
      <w:r>
        <w:t>.&lt;/bib&gt;</w:t>
      </w:r>
    </w:p>
    <w:p w14:paraId="129E7AC0" w14:textId="03C08B29" w:rsidR="00F03129" w:rsidRPr="00DD10B0" w:rsidRDefault="00DD10B0" w:rsidP="00DD10B0">
      <w:pPr>
        <w:pStyle w:val="Bibentry"/>
      </w:pPr>
      <w:bookmarkStart w:id="24" w:name="bib23"/>
      <w:bookmarkEnd w:id="24"/>
      <w:r>
        <w:t>&lt;bib id="bib23"</w:t>
      </w:r>
      <w:r w:rsidR="00D7719C">
        <w:t xml:space="preserve"> type="Periodical"</w:t>
      </w:r>
      <w:r>
        <w:t>&gt;&lt;number&gt;23.&lt;/number&gt;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et al. </w:t>
      </w:r>
      <w:r>
        <w:rPr>
          <w:rStyle w:val="ArticleTitle"/>
        </w:rPr>
        <w:t>Efficacy and safety of esketamine nasal spray plus an oral antidepressant in elderly patients with treatment-resistant depression-TRANSFORM-3</w:t>
      </w:r>
      <w:r>
        <w:t xml:space="preserve">. </w:t>
      </w:r>
      <w:r>
        <w:rPr>
          <w:rStyle w:val="JournalTitle"/>
          <w:i/>
        </w:rPr>
        <w:t>Am J Geriatr Psychiatry</w:t>
      </w:r>
      <w:r>
        <w:t xml:space="preserve">. </w:t>
      </w:r>
      <w:r>
        <w:rPr>
          <w:rStyle w:val="Year"/>
        </w:rPr>
        <w:t>2020</w:t>
      </w:r>
      <w:r>
        <w:t>;</w:t>
      </w:r>
      <w:r>
        <w:rPr>
          <w:rStyle w:val="Volume"/>
        </w:rPr>
        <w:t>28</w:t>
      </w:r>
      <w:r>
        <w:t>(</w:t>
      </w:r>
      <w:r>
        <w:rPr>
          <w:rStyle w:val="Issue"/>
        </w:rPr>
        <w:t>2</w:t>
      </w:r>
      <w:r>
        <w:t>):</w:t>
      </w:r>
      <w:r>
        <w:rPr>
          <w:rStyle w:val="Pages"/>
        </w:rPr>
        <w:t>121-141</w:t>
      </w:r>
      <w:r>
        <w:t>.&lt;/bib&gt;</w:t>
      </w:r>
    </w:p>
    <w:p w14:paraId="64D7CB73" w14:textId="754DD219" w:rsidR="00F03129" w:rsidRPr="00DD10B0" w:rsidRDefault="00DD10B0" w:rsidP="00DD10B0">
      <w:pPr>
        <w:pStyle w:val="Bibentry"/>
      </w:pPr>
      <w:bookmarkStart w:id="25" w:name="bib24"/>
      <w:bookmarkEnd w:id="25"/>
      <w:r>
        <w:t>&lt;bib id="bib24"</w:t>
      </w:r>
      <w:r w:rsidR="00D7719C">
        <w:t xml:space="preserve"> type="Periodical"</w:t>
      </w:r>
      <w:r>
        <w:t>&gt;&lt;number&gt;24.&lt;/number&gt;</w:t>
      </w:r>
      <w:r>
        <w:rPr>
          <w:rStyle w:val="Surname"/>
          <w:bdr w:val="dotted" w:sz="4" w:space="0" w:color="auto"/>
        </w:rPr>
        <w:t>Lai</w:t>
      </w:r>
      <w:r>
        <w:rPr>
          <w:bdr w:val="dotted" w:sz="4" w:space="0" w:color="auto"/>
        </w:rPr>
        <w:t xml:space="preserve"> </w:t>
      </w:r>
      <w:r>
        <w:rPr>
          <w:rStyle w:val="FirstName"/>
          <w:bdr w:val="dotted" w:sz="4" w:space="0" w:color="auto"/>
        </w:rPr>
        <w:t>R</w:t>
      </w:r>
      <w:r>
        <w:t xml:space="preserve">, </w:t>
      </w:r>
      <w:r>
        <w:rPr>
          <w:rStyle w:val="Surname"/>
          <w:bdr w:val="dotted" w:sz="4" w:space="0" w:color="auto"/>
        </w:rPr>
        <w:t>Katalinic</w:t>
      </w:r>
      <w:r>
        <w:rPr>
          <w:bdr w:val="dotted" w:sz="4" w:space="0" w:color="auto"/>
        </w:rPr>
        <w:t xml:space="preserve"> </w:t>
      </w:r>
      <w:r>
        <w:rPr>
          <w:rStyle w:val="FirstName"/>
          <w:bdr w:val="dotted" w:sz="4" w:space="0" w:color="auto"/>
        </w:rPr>
        <w:t>N</w:t>
      </w:r>
      <w:r>
        <w:t xml:space="preserve">, </w:t>
      </w:r>
      <w:r>
        <w:rPr>
          <w:rStyle w:val="Surname"/>
          <w:bdr w:val="dotted" w:sz="4" w:space="0" w:color="auto"/>
        </w:rPr>
        <w:t>Glue</w:t>
      </w:r>
      <w:r>
        <w:rPr>
          <w:bdr w:val="dotted" w:sz="4" w:space="0" w:color="auto"/>
        </w:rPr>
        <w:t xml:space="preserve"> </w:t>
      </w:r>
      <w:r>
        <w:rPr>
          <w:rStyle w:val="FirstName"/>
          <w:bdr w:val="dotted" w:sz="4" w:space="0" w:color="auto"/>
        </w:rPr>
        <w:t>P</w:t>
      </w:r>
      <w:r>
        <w:t xml:space="preserve">, et al. </w:t>
      </w:r>
      <w:r>
        <w:rPr>
          <w:rStyle w:val="ArticleTitle"/>
        </w:rPr>
        <w:t>Pilot dose-response trial of i.v. ketamine in treatment-resistant depression</w:t>
      </w:r>
      <w:r>
        <w:t xml:space="preserve">. </w:t>
      </w:r>
      <w:r>
        <w:rPr>
          <w:rStyle w:val="JournalTitle"/>
          <w:i/>
        </w:rPr>
        <w:t>World J Biol Psychiatry</w:t>
      </w:r>
      <w:r>
        <w:t xml:space="preserve">. </w:t>
      </w:r>
      <w:r>
        <w:rPr>
          <w:rStyle w:val="Year"/>
        </w:rPr>
        <w:t>2014</w:t>
      </w:r>
      <w:r>
        <w:t>;</w:t>
      </w:r>
      <w:r>
        <w:rPr>
          <w:rStyle w:val="Volume"/>
        </w:rPr>
        <w:t>15</w:t>
      </w:r>
      <w:r>
        <w:t>(</w:t>
      </w:r>
      <w:r>
        <w:rPr>
          <w:rStyle w:val="Issue"/>
        </w:rPr>
        <w:t>7</w:t>
      </w:r>
      <w:r>
        <w:t>):</w:t>
      </w:r>
      <w:r>
        <w:rPr>
          <w:rStyle w:val="Pages"/>
        </w:rPr>
        <w:t>579-584</w:t>
      </w:r>
      <w:r>
        <w:t>.&lt;/bib&gt;</w:t>
      </w:r>
    </w:p>
    <w:p w14:paraId="45A4E15B" w14:textId="4B1B5E4C" w:rsidR="00F03129" w:rsidRPr="00DD10B0" w:rsidRDefault="00DD10B0" w:rsidP="00DD10B0">
      <w:pPr>
        <w:pStyle w:val="Bibentry"/>
      </w:pPr>
      <w:bookmarkStart w:id="26" w:name="bib25"/>
      <w:bookmarkEnd w:id="26"/>
      <w:r>
        <w:t>&lt;bib id="bib25"</w:t>
      </w:r>
      <w:r w:rsidR="00D7719C">
        <w:t xml:space="preserve"> type="Periodical"</w:t>
      </w:r>
      <w:r>
        <w:t>&gt;&lt;number&gt;25.&lt;/number&gt;</w:t>
      </w:r>
      <w:r>
        <w:rPr>
          <w:rStyle w:val="Surname"/>
          <w:bdr w:val="dotted" w:sz="4" w:space="0" w:color="auto"/>
        </w:rPr>
        <w:t>Glue</w:t>
      </w:r>
      <w:r>
        <w:rPr>
          <w:bdr w:val="dotted" w:sz="4" w:space="0" w:color="auto"/>
        </w:rPr>
        <w:t xml:space="preserve"> </w:t>
      </w:r>
      <w:r>
        <w:rPr>
          <w:rStyle w:val="FirstName"/>
          <w:bdr w:val="dotted" w:sz="4" w:space="0" w:color="auto"/>
        </w:rPr>
        <w:t>P</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Surname"/>
          <w:bdr w:val="dotted" w:sz="4" w:space="0" w:color="auto"/>
        </w:rPr>
        <w:t>Fam</w:t>
      </w:r>
      <w:r>
        <w:rPr>
          <w:bdr w:val="dotted" w:sz="4" w:space="0" w:color="auto"/>
        </w:rPr>
        <w:t xml:space="preserve"> </w:t>
      </w:r>
      <w:r>
        <w:rPr>
          <w:rStyle w:val="FirstName"/>
          <w:bdr w:val="dotted" w:sz="4" w:space="0" w:color="auto"/>
        </w:rPr>
        <w:t>J</w:t>
      </w:r>
      <w:r>
        <w:t xml:space="preserve">, et al. </w:t>
      </w:r>
      <w:r>
        <w:rPr>
          <w:rStyle w:val="ArticleTitle"/>
        </w:rPr>
        <w:t>Extended-release ketamine tablets for treatment-resistant depression: a randomized placebo-controlled phase 2 trial</w:t>
      </w:r>
      <w:r>
        <w:t xml:space="preserve">. </w:t>
      </w:r>
      <w:r>
        <w:rPr>
          <w:rStyle w:val="JournalTitle"/>
          <w:i/>
        </w:rPr>
        <w:t>Nat Med</w:t>
      </w:r>
      <w:r>
        <w:t xml:space="preserve">. </w:t>
      </w:r>
      <w:r>
        <w:rPr>
          <w:rStyle w:val="Year"/>
        </w:rPr>
        <w:t>2024</w:t>
      </w:r>
      <w:r>
        <w:t>;</w:t>
      </w:r>
      <w:r>
        <w:rPr>
          <w:rStyle w:val="Volume"/>
        </w:rPr>
        <w:t>30</w:t>
      </w:r>
      <w:r>
        <w:t>(</w:t>
      </w:r>
      <w:r>
        <w:rPr>
          <w:rStyle w:val="Issue"/>
        </w:rPr>
        <w:t>7</w:t>
      </w:r>
      <w:r>
        <w:t>):</w:t>
      </w:r>
      <w:r>
        <w:rPr>
          <w:rStyle w:val="Pages"/>
        </w:rPr>
        <w:t>2004-2009</w:t>
      </w:r>
      <w:r>
        <w:t>.&lt;/bib&gt;</w:t>
      </w:r>
    </w:p>
    <w:p w14:paraId="61662D15" w14:textId="3B3DF9B3" w:rsidR="00F03129" w:rsidRPr="00DD10B0" w:rsidRDefault="00DD10B0" w:rsidP="00DD10B0">
      <w:pPr>
        <w:pStyle w:val="Bibentry"/>
      </w:pPr>
      <w:bookmarkStart w:id="27" w:name="bib26"/>
      <w:bookmarkEnd w:id="27"/>
      <w:r>
        <w:t>&lt;bib id="bib26"</w:t>
      </w:r>
      <w:r w:rsidR="00D7719C">
        <w:t xml:space="preserve"> type="Periodical"</w:t>
      </w:r>
      <w:r>
        <w:t>&gt;&lt;number&gt;26.&lt;/number&gt;</w:t>
      </w:r>
      <w:r>
        <w:rPr>
          <w:rStyle w:val="Surname"/>
          <w:bdr w:val="dotted" w:sz="4" w:space="0" w:color="auto"/>
        </w:rPr>
        <w:t>Fernie</w:t>
      </w:r>
      <w:r>
        <w:rPr>
          <w:bdr w:val="dotted" w:sz="4" w:space="0" w:color="auto"/>
        </w:rPr>
        <w:t xml:space="preserve"> </w:t>
      </w:r>
      <w:r>
        <w:rPr>
          <w:rStyle w:val="FirstName"/>
          <w:bdr w:val="dotted" w:sz="4" w:space="0" w:color="auto"/>
        </w:rPr>
        <w:t>G</w:t>
      </w:r>
      <w:r>
        <w:t xml:space="preserve">, </w:t>
      </w:r>
      <w:r>
        <w:rPr>
          <w:rStyle w:val="Surname"/>
          <w:bdr w:val="dotted" w:sz="4" w:space="0" w:color="auto"/>
        </w:rPr>
        <w:t>Currie</w:t>
      </w:r>
      <w:r>
        <w:rPr>
          <w:bdr w:val="dotted" w:sz="4" w:space="0" w:color="auto"/>
        </w:rPr>
        <w:t xml:space="preserve"> </w:t>
      </w:r>
      <w:r>
        <w:rPr>
          <w:rStyle w:val="FirstName"/>
          <w:bdr w:val="dotted" w:sz="4" w:space="0" w:color="auto"/>
        </w:rPr>
        <w:t>J</w:t>
      </w:r>
      <w:r>
        <w:t xml:space="preserve">, </w:t>
      </w:r>
      <w:r>
        <w:rPr>
          <w:rStyle w:val="Surname"/>
          <w:bdr w:val="dotted" w:sz="4" w:space="0" w:color="auto"/>
        </w:rPr>
        <w:t>Perrin</w:t>
      </w:r>
      <w:r>
        <w:rPr>
          <w:bdr w:val="dotted" w:sz="4" w:space="0" w:color="auto"/>
        </w:rPr>
        <w:t xml:space="preserve"> </w:t>
      </w:r>
      <w:r>
        <w:rPr>
          <w:rStyle w:val="FirstName"/>
          <w:bdr w:val="dotted" w:sz="4" w:space="0" w:color="auto"/>
        </w:rPr>
        <w:t>JS</w:t>
      </w:r>
      <w:r>
        <w:t xml:space="preserve">, et al. </w:t>
      </w:r>
      <w:r>
        <w:rPr>
          <w:rStyle w:val="ArticleTitle"/>
        </w:rPr>
        <w:t>Ketamine as the anaesthetic for electroconvulsive therapy: the KANECT randomised controlled trial</w:t>
      </w:r>
      <w:r>
        <w:t xml:space="preserve">. </w:t>
      </w:r>
      <w:r>
        <w:rPr>
          <w:rStyle w:val="JournalTitle"/>
          <w:i/>
        </w:rPr>
        <w:t>Br J Psychiatry</w:t>
      </w:r>
      <w:r>
        <w:t xml:space="preserve">. </w:t>
      </w:r>
      <w:r>
        <w:rPr>
          <w:rStyle w:val="Year"/>
        </w:rPr>
        <w:t>2017</w:t>
      </w:r>
      <w:r>
        <w:t>;</w:t>
      </w:r>
      <w:r>
        <w:rPr>
          <w:rStyle w:val="Volume"/>
        </w:rPr>
        <w:t>210</w:t>
      </w:r>
      <w:r>
        <w:t>(</w:t>
      </w:r>
      <w:r>
        <w:rPr>
          <w:rStyle w:val="Issue"/>
        </w:rPr>
        <w:t>6</w:t>
      </w:r>
      <w:r>
        <w:t>):</w:t>
      </w:r>
      <w:r>
        <w:rPr>
          <w:rStyle w:val="Pages"/>
        </w:rPr>
        <w:t>422-428</w:t>
      </w:r>
      <w:r>
        <w:t>.&lt;/bib&gt;</w:t>
      </w:r>
    </w:p>
    <w:p w14:paraId="27DC7458" w14:textId="4958D452" w:rsidR="00F03129" w:rsidRPr="00DD10B0" w:rsidRDefault="00DD10B0" w:rsidP="00DD10B0">
      <w:pPr>
        <w:pStyle w:val="Bibentry"/>
      </w:pPr>
      <w:bookmarkStart w:id="28" w:name="bib27"/>
      <w:bookmarkEnd w:id="28"/>
      <w:r>
        <w:t>&lt;bib id="bib27"</w:t>
      </w:r>
      <w:r w:rsidR="00D7719C">
        <w:t xml:space="preserve"> type="Periodical"</w:t>
      </w:r>
      <w:r>
        <w:t>&gt;&lt;number&gt;27.&lt;/number&gt;</w:t>
      </w:r>
      <w:r>
        <w:rPr>
          <w:rStyle w:val="Surname"/>
          <w:bdr w:val="dotted" w:sz="4" w:space="0" w:color="auto"/>
        </w:rPr>
        <w:t>Zou</w:t>
      </w:r>
      <w:r>
        <w:rPr>
          <w:bdr w:val="dotted" w:sz="4" w:space="0" w:color="auto"/>
        </w:rPr>
        <w:t xml:space="preserve"> </w:t>
      </w:r>
      <w:r>
        <w:rPr>
          <w:rStyle w:val="FirstName"/>
          <w:bdr w:val="dotted" w:sz="4" w:space="0" w:color="auto"/>
        </w:rPr>
        <w:t>L</w:t>
      </w:r>
      <w:r>
        <w:t xml:space="preserve">, </w:t>
      </w:r>
      <w:r>
        <w:rPr>
          <w:rStyle w:val="Surname"/>
          <w:bdr w:val="dotted" w:sz="4" w:space="0" w:color="auto"/>
        </w:rPr>
        <w:t>Min</w:t>
      </w:r>
      <w:r>
        <w:rPr>
          <w:bdr w:val="dotted" w:sz="4" w:space="0" w:color="auto"/>
        </w:rPr>
        <w:t xml:space="preserve"> </w:t>
      </w:r>
      <w:r>
        <w:rPr>
          <w:rStyle w:val="FirstName"/>
          <w:bdr w:val="dotted" w:sz="4" w:space="0" w:color="auto"/>
        </w:rPr>
        <w:t>S</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Ren</w:t>
      </w:r>
      <w:r>
        <w:rPr>
          <w:bdr w:val="dotted" w:sz="4" w:space="0" w:color="auto"/>
        </w:rPr>
        <w:t xml:space="preserve"> </w:t>
      </w:r>
      <w:r>
        <w:rPr>
          <w:rStyle w:val="FirstName"/>
          <w:bdr w:val="dotted" w:sz="4" w:space="0" w:color="auto"/>
        </w:rPr>
        <w:t>L</w:t>
      </w:r>
      <w:r>
        <w:t xml:space="preserve">. </w:t>
      </w:r>
      <w:r>
        <w:rPr>
          <w:rStyle w:val="ArticleTitle"/>
        </w:rPr>
        <w:t>Subanesthetic dose of ketamine for the antidepressant effects and the associated cognitive impairments of electroconvulsive therapy in elderly patients-A randomized, double-blind, controlled clinical study</w:t>
      </w:r>
      <w:r>
        <w:t xml:space="preserve">. </w:t>
      </w:r>
      <w:r>
        <w:rPr>
          <w:rStyle w:val="JournalTitle"/>
          <w:i/>
        </w:rPr>
        <w:t>Brain Behav</w:t>
      </w:r>
      <w:r>
        <w:t xml:space="preserve">. </w:t>
      </w:r>
      <w:r>
        <w:rPr>
          <w:rStyle w:val="Year"/>
        </w:rPr>
        <w:t>2021</w:t>
      </w:r>
      <w:r>
        <w:t>;</w:t>
      </w:r>
      <w:r>
        <w:rPr>
          <w:rStyle w:val="Volume"/>
        </w:rPr>
        <w:t>11</w:t>
      </w:r>
      <w:r>
        <w:t>(</w:t>
      </w:r>
      <w:r>
        <w:rPr>
          <w:rStyle w:val="Issue"/>
        </w:rPr>
        <w:t>1</w:t>
      </w:r>
      <w:r>
        <w:t>):</w:t>
      </w:r>
      <w:r>
        <w:rPr>
          <w:rStyle w:val="Pages"/>
        </w:rPr>
        <w:t>e01775</w:t>
      </w:r>
      <w:r>
        <w:t>.&lt;/bib&gt;</w:t>
      </w:r>
    </w:p>
    <w:p w14:paraId="4F681528" w14:textId="3DA6BA76" w:rsidR="00F03129" w:rsidRPr="00DD10B0" w:rsidRDefault="00DD10B0" w:rsidP="00DD10B0">
      <w:pPr>
        <w:pStyle w:val="Bibentry"/>
      </w:pPr>
      <w:bookmarkStart w:id="29" w:name="bib28"/>
      <w:bookmarkEnd w:id="29"/>
      <w:r>
        <w:t>&lt;bib id="bib28"</w:t>
      </w:r>
      <w:r w:rsidR="00D7719C">
        <w:t xml:space="preserve"> type="Periodical"</w:t>
      </w:r>
      <w:r>
        <w:t>&gt;&lt;number&gt;28.&lt;/number&gt;</w:t>
      </w:r>
      <w:r>
        <w:rPr>
          <w:rStyle w:val="Surname"/>
          <w:bdr w:val="dotted" w:sz="4" w:space="0" w:color="auto"/>
        </w:rPr>
        <w:t>George</w:t>
      </w:r>
      <w:r>
        <w:rPr>
          <w:bdr w:val="dotted" w:sz="4" w:space="0" w:color="auto"/>
        </w:rPr>
        <w:t xml:space="preserve"> </w:t>
      </w:r>
      <w:r>
        <w:rPr>
          <w:rStyle w:val="FirstName"/>
          <w:bdr w:val="dotted" w:sz="4" w:space="0" w:color="auto"/>
        </w:rPr>
        <w:t>D</w:t>
      </w:r>
      <w:r>
        <w:t xml:space="preserve">, </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et al. </w:t>
      </w:r>
      <w:r>
        <w:rPr>
          <w:rStyle w:val="ArticleTitle"/>
        </w:rPr>
        <w:t>Pilot randomized controlled trial of titrated subcutaneous ketamine in older patients with treatment-resistant depression</w:t>
      </w:r>
      <w:r>
        <w:t xml:space="preserve">. </w:t>
      </w:r>
      <w:r>
        <w:rPr>
          <w:rStyle w:val="JournalTitle"/>
          <w:i/>
        </w:rPr>
        <w:t>Am J Geriatr Psychiatry</w:t>
      </w:r>
      <w:r>
        <w:t xml:space="preserve">. </w:t>
      </w:r>
      <w:r>
        <w:rPr>
          <w:rStyle w:val="Year"/>
        </w:rPr>
        <w:t>2017</w:t>
      </w:r>
      <w:r>
        <w:t>;</w:t>
      </w:r>
      <w:r>
        <w:rPr>
          <w:rStyle w:val="Volume"/>
        </w:rPr>
        <w:t>25</w:t>
      </w:r>
      <w:r>
        <w:t>(</w:t>
      </w:r>
      <w:r>
        <w:rPr>
          <w:rStyle w:val="Issue"/>
        </w:rPr>
        <w:t>11</w:t>
      </w:r>
      <w:r>
        <w:t>):</w:t>
      </w:r>
      <w:r>
        <w:rPr>
          <w:rStyle w:val="Pages"/>
        </w:rPr>
        <w:t>1199-1209</w:t>
      </w:r>
      <w:r>
        <w:t>.&lt;/bib&gt;</w:t>
      </w:r>
    </w:p>
    <w:p w14:paraId="67007A6B" w14:textId="57470809" w:rsidR="00F03129" w:rsidRPr="00DD10B0" w:rsidRDefault="00DD10B0" w:rsidP="00DD10B0">
      <w:pPr>
        <w:pStyle w:val="Bibentry"/>
      </w:pPr>
      <w:bookmarkStart w:id="30" w:name="bib29"/>
      <w:bookmarkEnd w:id="30"/>
      <w:r>
        <w:t>&lt;bib id="bib29"</w:t>
      </w:r>
      <w:r w:rsidR="00D7719C">
        <w:t xml:space="preserve"> type="Periodical"</w:t>
      </w:r>
      <w:r>
        <w:t>&gt;&lt;number&gt;29.&lt;/number&gt;</w:t>
      </w:r>
      <w:r>
        <w:rPr>
          <w:rStyle w:val="Surname"/>
          <w:bdr w:val="dotted" w:sz="4" w:space="0" w:color="auto"/>
        </w:rPr>
        <w:t>Wajs</w:t>
      </w:r>
      <w:r>
        <w:rPr>
          <w:bdr w:val="dotted" w:sz="4" w:space="0" w:color="auto"/>
        </w:rPr>
        <w:t xml:space="preserve"> </w:t>
      </w:r>
      <w:r>
        <w:rPr>
          <w:rStyle w:val="FirstName"/>
          <w:bdr w:val="dotted" w:sz="4" w:space="0" w:color="auto"/>
        </w:rPr>
        <w:t>E</w:t>
      </w:r>
      <w:r>
        <w:t xml:space="preserve">, </w:t>
      </w:r>
      <w:r>
        <w:rPr>
          <w:rStyle w:val="Surname"/>
          <w:bdr w:val="dotted" w:sz="4" w:space="0" w:color="auto"/>
        </w:rPr>
        <w:t>Aluisio</w:t>
      </w:r>
      <w:r>
        <w:rPr>
          <w:bdr w:val="dotted" w:sz="4" w:space="0" w:color="auto"/>
        </w:rPr>
        <w:t xml:space="preserve"> </w:t>
      </w:r>
      <w:r>
        <w:rPr>
          <w:rStyle w:val="FirstName"/>
          <w:bdr w:val="dotted" w:sz="4" w:space="0" w:color="auto"/>
        </w:rPr>
        <w:t>L</w:t>
      </w:r>
      <w:r>
        <w:t xml:space="preserve">, </w:t>
      </w:r>
      <w:r>
        <w:rPr>
          <w:rStyle w:val="Surname"/>
          <w:bdr w:val="dotted" w:sz="4" w:space="0" w:color="auto"/>
        </w:rPr>
        <w:t>Holder</w:t>
      </w:r>
      <w:r>
        <w:rPr>
          <w:bdr w:val="dotted" w:sz="4" w:space="0" w:color="auto"/>
        </w:rPr>
        <w:t xml:space="preserve"> </w:t>
      </w:r>
      <w:r>
        <w:rPr>
          <w:rStyle w:val="FirstName"/>
          <w:bdr w:val="dotted" w:sz="4" w:space="0" w:color="auto"/>
        </w:rPr>
        <w:t>R</w:t>
      </w:r>
      <w:r>
        <w:t xml:space="preserve">, et al. </w:t>
      </w:r>
      <w:r>
        <w:rPr>
          <w:rStyle w:val="ArticleTitle"/>
        </w:rPr>
        <w:t>Esketamine nasal spray plus oral antidepressant in patients with treatment-resistant depression: Assessment of long-term safety in a phase 3, open-label study (SUSTAIN-2)</w:t>
      </w:r>
      <w:r>
        <w:t xml:space="preserve">. </w:t>
      </w:r>
      <w:r>
        <w:rPr>
          <w:rStyle w:val="JournalTitle"/>
          <w:i/>
        </w:rPr>
        <w:t>J Clin Psychiatry</w:t>
      </w:r>
      <w:r>
        <w:t xml:space="preserve">. </w:t>
      </w:r>
      <w:r>
        <w:rPr>
          <w:rStyle w:val="Year"/>
        </w:rPr>
        <w:t>2020</w:t>
      </w:r>
      <w:r>
        <w:t>;</w:t>
      </w:r>
      <w:r>
        <w:rPr>
          <w:rStyle w:val="Volume"/>
        </w:rPr>
        <w:t>81</w:t>
      </w:r>
      <w:r>
        <w:t>(</w:t>
      </w:r>
      <w:r>
        <w:rPr>
          <w:rStyle w:val="Issue"/>
        </w:rPr>
        <w:t>3</w:t>
      </w:r>
      <w:r>
        <w:t>). doi:</w:t>
      </w:r>
      <w:r>
        <w:rPr>
          <w:rStyle w:val="DOI"/>
        </w:rPr>
        <w:t>10.4088/JCP.19m12891</w:t>
      </w:r>
      <w:r>
        <w:t>&lt;/bib&gt;</w:t>
      </w:r>
    </w:p>
    <w:p w14:paraId="18654160" w14:textId="34F5D602" w:rsidR="00F03129" w:rsidRPr="00DD10B0" w:rsidRDefault="00DD10B0" w:rsidP="00DD10B0">
      <w:pPr>
        <w:pStyle w:val="Bibentry"/>
      </w:pPr>
      <w:bookmarkStart w:id="31" w:name="bib30"/>
      <w:bookmarkEnd w:id="31"/>
      <w:r>
        <w:t>&lt;bib id="bib30"</w:t>
      </w:r>
      <w:r w:rsidR="00D7719C">
        <w:t xml:space="preserve"> type="Periodical"</w:t>
      </w:r>
      <w:r>
        <w:t>&gt;&lt;number&gt;30.&lt;/number&gt;</w:t>
      </w:r>
      <w:r>
        <w:rPr>
          <w:rStyle w:val="Surname"/>
          <w:bdr w:val="dotted" w:sz="4" w:space="0" w:color="auto"/>
        </w:rPr>
        <w:t>Oughli</w:t>
      </w:r>
      <w:r>
        <w:rPr>
          <w:bdr w:val="dotted" w:sz="4" w:space="0" w:color="auto"/>
        </w:rPr>
        <w:t xml:space="preserve"> </w:t>
      </w:r>
      <w:r>
        <w:rPr>
          <w:rStyle w:val="FirstName"/>
          <w:bdr w:val="dotted" w:sz="4" w:space="0" w:color="auto"/>
        </w:rPr>
        <w:t>HA</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Ciarleglio</w:t>
      </w:r>
      <w:r>
        <w:rPr>
          <w:bdr w:val="dotted" w:sz="4" w:space="0" w:color="auto"/>
        </w:rPr>
        <w:t xml:space="preserve"> </w:t>
      </w:r>
      <w:r>
        <w:rPr>
          <w:rStyle w:val="FirstName"/>
          <w:bdr w:val="dotted" w:sz="4" w:space="0" w:color="auto"/>
        </w:rPr>
        <w:t>A</w:t>
      </w:r>
      <w:r>
        <w:t xml:space="preserve">, et al. </w:t>
      </w:r>
      <w:r>
        <w:rPr>
          <w:rStyle w:val="ArticleTitle"/>
        </w:rPr>
        <w:t>Intravenous ketamine for late-life treatment-resistant depression: A pilot study of tolerability, safety, clinical benefits, and effect on cognition</w:t>
      </w:r>
      <w:r>
        <w:t xml:space="preserve">. </w:t>
      </w:r>
      <w:r>
        <w:rPr>
          <w:rStyle w:val="JournalTitle"/>
          <w:i/>
        </w:rPr>
        <w:t>Am J Geriatr Psychiatry</w:t>
      </w:r>
      <w:r>
        <w:t xml:space="preserve">. </w:t>
      </w:r>
      <w:r>
        <w:rPr>
          <w:rStyle w:val="Year"/>
        </w:rPr>
        <w:t>2023</w:t>
      </w:r>
      <w:r>
        <w:t>;</w:t>
      </w:r>
      <w:r>
        <w:rPr>
          <w:rStyle w:val="Volume"/>
        </w:rPr>
        <w:t>31</w:t>
      </w:r>
      <w:r>
        <w:t>(</w:t>
      </w:r>
      <w:r>
        <w:rPr>
          <w:rStyle w:val="Issue"/>
        </w:rPr>
        <w:t>3</w:t>
      </w:r>
      <w:r>
        <w:t>):</w:t>
      </w:r>
      <w:r>
        <w:rPr>
          <w:rStyle w:val="Pages"/>
        </w:rPr>
        <w:t>210-221</w:t>
      </w:r>
      <w:r>
        <w:t>.&lt;/bib&gt;</w:t>
      </w:r>
    </w:p>
    <w:p w14:paraId="7F89C5EE" w14:textId="54585ABC" w:rsidR="00F03129" w:rsidRPr="00DD10B0" w:rsidRDefault="00DD10B0" w:rsidP="00DD10B0">
      <w:pPr>
        <w:pStyle w:val="Bibentry"/>
      </w:pPr>
      <w:bookmarkStart w:id="32" w:name="bib31"/>
      <w:bookmarkEnd w:id="32"/>
      <w:r>
        <w:t>&lt;bib id="bib31"</w:t>
      </w:r>
      <w:r w:rsidR="00D7719C">
        <w:t xml:space="preserve"> type="Periodical"</w:t>
      </w:r>
      <w:r>
        <w:t>&gt;&lt;number&gt;31.&lt;/number&gt;</w:t>
      </w:r>
      <w:r>
        <w:rPr>
          <w:rStyle w:val="Surname"/>
          <w:bdr w:val="dotted" w:sz="4" w:space="0" w:color="auto"/>
        </w:rPr>
        <w:t>Zaki</w:t>
      </w:r>
      <w:r>
        <w:rPr>
          <w:bdr w:val="dotted" w:sz="4" w:space="0" w:color="auto"/>
        </w:rPr>
        <w:t xml:space="preserve"> </w:t>
      </w:r>
      <w:r>
        <w:rPr>
          <w:rStyle w:val="FirstName"/>
          <w:bdr w:val="dotted" w:sz="4" w:space="0" w:color="auto"/>
        </w:rPr>
        <w:t>N</w:t>
      </w:r>
      <w:r>
        <w:t xml:space="preserve">, </w:t>
      </w:r>
      <w:r>
        <w:rPr>
          <w:rStyle w:val="Surname"/>
          <w:bdr w:val="dotted" w:sz="4" w:space="0" w:color="auto"/>
        </w:rPr>
        <w:t>Chen</w:t>
      </w:r>
      <w:r>
        <w:rPr>
          <w:bdr w:val="dotted" w:sz="4" w:space="0" w:color="auto"/>
        </w:rPr>
        <w:t xml:space="preserve"> </w:t>
      </w:r>
      <w:r>
        <w:rPr>
          <w:rStyle w:val="FirstName"/>
          <w:bdr w:val="dotted" w:sz="4" w:space="0" w:color="auto"/>
        </w:rPr>
        <w:t>LN</w:t>
      </w:r>
      <w:r>
        <w:t xml:space="preserve">, </w:t>
      </w:r>
      <w:r>
        <w:rPr>
          <w:rStyle w:val="Surname"/>
          <w:bdr w:val="dotted" w:sz="4" w:space="0" w:color="auto"/>
        </w:rPr>
        <w:t>Lane</w:t>
      </w:r>
      <w:r>
        <w:rPr>
          <w:bdr w:val="dotted" w:sz="4" w:space="0" w:color="auto"/>
        </w:rPr>
        <w:t xml:space="preserve"> </w:t>
      </w:r>
      <w:r>
        <w:rPr>
          <w:rStyle w:val="FirstName"/>
          <w:bdr w:val="dotted" w:sz="4" w:space="0" w:color="auto"/>
        </w:rPr>
        <w:t>R</w:t>
      </w:r>
      <w:r>
        <w:t xml:space="preserve">, et al. </w:t>
      </w:r>
      <w:r>
        <w:rPr>
          <w:rStyle w:val="ArticleTitle"/>
        </w:rPr>
        <w:t>Long-term safety and maintenance of response with esketamine nasal spray in participants with treatment-resistant depression: interim results of the SUSTAIN-3 study</w:t>
      </w:r>
      <w:r>
        <w:t xml:space="preserve">. </w:t>
      </w:r>
      <w:r>
        <w:rPr>
          <w:rStyle w:val="JournalTitle"/>
          <w:i/>
        </w:rPr>
        <w:t>Neuropsychopharmacology</w:t>
      </w:r>
      <w:r>
        <w:t xml:space="preserve">. </w:t>
      </w:r>
      <w:r>
        <w:rPr>
          <w:rStyle w:val="Year"/>
        </w:rPr>
        <w:t>2023</w:t>
      </w:r>
      <w:r>
        <w:t>;</w:t>
      </w:r>
      <w:r>
        <w:rPr>
          <w:rStyle w:val="Volume"/>
        </w:rPr>
        <w:t>48</w:t>
      </w:r>
      <w:r>
        <w:t>(</w:t>
      </w:r>
      <w:r>
        <w:rPr>
          <w:rStyle w:val="Issue"/>
        </w:rPr>
        <w:t>8</w:t>
      </w:r>
      <w:r>
        <w:t>):</w:t>
      </w:r>
      <w:r>
        <w:rPr>
          <w:rStyle w:val="Pages"/>
        </w:rPr>
        <w:t>1225-1233</w:t>
      </w:r>
      <w:r>
        <w:t>.&lt;/bib&gt;</w:t>
      </w:r>
    </w:p>
    <w:p w14:paraId="637B354B" w14:textId="0AD2F75D" w:rsidR="00F03129" w:rsidRPr="00DD10B0" w:rsidRDefault="00DD10B0" w:rsidP="00DD10B0">
      <w:pPr>
        <w:pStyle w:val="Bibentry"/>
      </w:pPr>
      <w:bookmarkStart w:id="33" w:name="bib32"/>
      <w:bookmarkEnd w:id="33"/>
      <w:r>
        <w:t>&lt;bib id="bib32"</w:t>
      </w:r>
      <w:r w:rsidR="00D7719C">
        <w:t xml:space="preserve"> type="Periodical"</w:t>
      </w:r>
      <w:r>
        <w:t>&gt;&lt;number&gt;32.&lt;/number&gt;</w:t>
      </w:r>
      <w:r>
        <w:rPr>
          <w:rStyle w:val="Surname"/>
          <w:bdr w:val="dotted" w:sz="4" w:space="0" w:color="auto"/>
        </w:rPr>
        <w:t>Rasmussen</w:t>
      </w:r>
      <w:r>
        <w:rPr>
          <w:bdr w:val="dotted" w:sz="4" w:space="0" w:color="auto"/>
        </w:rPr>
        <w:t xml:space="preserve"> </w:t>
      </w:r>
      <w:r>
        <w:rPr>
          <w:rStyle w:val="FirstName"/>
          <w:bdr w:val="dotted" w:sz="4" w:space="0" w:color="auto"/>
        </w:rPr>
        <w:t>KG</w:t>
      </w:r>
      <w:r>
        <w:t xml:space="preserve">, </w:t>
      </w:r>
      <w:r>
        <w:rPr>
          <w:rStyle w:val="Surname"/>
          <w:bdr w:val="dotted" w:sz="4" w:space="0" w:color="auto"/>
        </w:rPr>
        <w:t>Lineberry</w:t>
      </w:r>
      <w:r>
        <w:rPr>
          <w:bdr w:val="dotted" w:sz="4" w:space="0" w:color="auto"/>
        </w:rPr>
        <w:t xml:space="preserve"> </w:t>
      </w:r>
      <w:r>
        <w:rPr>
          <w:rStyle w:val="FirstName"/>
          <w:bdr w:val="dotted" w:sz="4" w:space="0" w:color="auto"/>
        </w:rPr>
        <w:t>TW</w:t>
      </w:r>
      <w:r>
        <w:t xml:space="preserve">, </w:t>
      </w:r>
      <w:r>
        <w:rPr>
          <w:rStyle w:val="Surname"/>
          <w:bdr w:val="dotted" w:sz="4" w:space="0" w:color="auto"/>
        </w:rPr>
        <w:t>Galardy</w:t>
      </w:r>
      <w:r>
        <w:rPr>
          <w:bdr w:val="dotted" w:sz="4" w:space="0" w:color="auto"/>
        </w:rPr>
        <w:t xml:space="preserve"> </w:t>
      </w:r>
      <w:r>
        <w:rPr>
          <w:rStyle w:val="FirstName"/>
          <w:bdr w:val="dotted" w:sz="4" w:space="0" w:color="auto"/>
        </w:rPr>
        <w:t>CW</w:t>
      </w:r>
      <w:r>
        <w:t xml:space="preserve">, et al. </w:t>
      </w:r>
      <w:r>
        <w:rPr>
          <w:rStyle w:val="ArticleTitle"/>
        </w:rPr>
        <w:t>Serial infusions of low-dose ketamine for major depression</w:t>
      </w:r>
      <w:r>
        <w:t xml:space="preserve">. </w:t>
      </w:r>
      <w:r>
        <w:rPr>
          <w:rStyle w:val="JournalTitle"/>
          <w:i/>
        </w:rPr>
        <w:t>J Psychopharmacol</w:t>
      </w:r>
      <w:r>
        <w:t xml:space="preserve">. </w:t>
      </w:r>
      <w:r>
        <w:rPr>
          <w:rStyle w:val="Year"/>
        </w:rPr>
        <w:t>2013</w:t>
      </w:r>
      <w:r>
        <w:t>;</w:t>
      </w:r>
      <w:r>
        <w:rPr>
          <w:rStyle w:val="Volume"/>
        </w:rPr>
        <w:t>27</w:t>
      </w:r>
      <w:r>
        <w:t>(</w:t>
      </w:r>
      <w:r>
        <w:rPr>
          <w:rStyle w:val="Issue"/>
        </w:rPr>
        <w:t>5</w:t>
      </w:r>
      <w:r>
        <w:t>):</w:t>
      </w:r>
      <w:r>
        <w:rPr>
          <w:rStyle w:val="Pages"/>
        </w:rPr>
        <w:t>444-450</w:t>
      </w:r>
      <w:r>
        <w:t>.&lt;/bib&gt;</w:t>
      </w:r>
    </w:p>
    <w:p w14:paraId="08B86593" w14:textId="41304180" w:rsidR="00F03129" w:rsidRPr="00DD10B0" w:rsidRDefault="00DD10B0" w:rsidP="00DD10B0">
      <w:pPr>
        <w:pStyle w:val="Bibentry"/>
      </w:pPr>
      <w:bookmarkStart w:id="34" w:name="bib33"/>
      <w:bookmarkEnd w:id="34"/>
      <w:r>
        <w:t>&lt;bib id="bib33"</w:t>
      </w:r>
      <w:r w:rsidR="00D7719C">
        <w:t xml:space="preserve"> type="Periodical"</w:t>
      </w:r>
      <w:r>
        <w:t>&gt;&lt;number&gt;33.&lt;/number&gt;</w:t>
      </w:r>
      <w:r>
        <w:rPr>
          <w:rStyle w:val="Surname"/>
          <w:bdr w:val="dotted" w:sz="4" w:space="0" w:color="auto"/>
        </w:rPr>
        <w:t>Vanderschelden</w:t>
      </w:r>
      <w:r>
        <w:rPr>
          <w:bdr w:val="dotted" w:sz="4" w:space="0" w:color="auto"/>
        </w:rPr>
        <w:t xml:space="preserve"> </w:t>
      </w:r>
      <w:r>
        <w:rPr>
          <w:rStyle w:val="FirstName"/>
          <w:bdr w:val="dotted" w:sz="4" w:space="0" w:color="auto"/>
        </w:rPr>
        <w:t>B</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Oughli</w:t>
      </w:r>
      <w:r>
        <w:rPr>
          <w:bdr w:val="dotted" w:sz="4" w:space="0" w:color="auto"/>
        </w:rPr>
        <w:t xml:space="preserve"> </w:t>
      </w:r>
      <w:r>
        <w:rPr>
          <w:rStyle w:val="FirstName"/>
          <w:bdr w:val="dotted" w:sz="4" w:space="0" w:color="auto"/>
        </w:rPr>
        <w:t>HA</w:t>
      </w:r>
      <w:r>
        <w:t xml:space="preserve">, et al. </w:t>
      </w:r>
      <w:r>
        <w:rPr>
          <w:rStyle w:val="ArticleTitle"/>
        </w:rPr>
        <w:t>Change in patient-centered outcomes of psychological well-being, sleep, and suicidality following treatment with intravenous ketamine for late-life treatment-resistant depression</w:t>
      </w:r>
      <w:r>
        <w:t xml:space="preserve">. </w:t>
      </w:r>
      <w:r>
        <w:rPr>
          <w:rStyle w:val="JournalTitle"/>
          <w:i/>
        </w:rPr>
        <w:t>Int J Geriatr Psychiatry</w:t>
      </w:r>
      <w:r>
        <w:t xml:space="preserve">. </w:t>
      </w:r>
      <w:r>
        <w:rPr>
          <w:rStyle w:val="Year"/>
        </w:rPr>
        <w:t>2023</w:t>
      </w:r>
      <w:r>
        <w:t>;</w:t>
      </w:r>
      <w:r>
        <w:rPr>
          <w:rStyle w:val="Volume"/>
        </w:rPr>
        <w:t>38</w:t>
      </w:r>
      <w:r>
        <w:t>(</w:t>
      </w:r>
      <w:r>
        <w:rPr>
          <w:rStyle w:val="Issue"/>
        </w:rPr>
        <w:t>7</w:t>
      </w:r>
      <w:r>
        <w:t>):</w:t>
      </w:r>
      <w:r>
        <w:rPr>
          <w:rStyle w:val="Pages"/>
        </w:rPr>
        <w:t>e5964</w:t>
      </w:r>
      <w:r>
        <w:t>.&lt;/bib&gt;</w:t>
      </w:r>
    </w:p>
    <w:p w14:paraId="251D7E63" w14:textId="7EF97CEF" w:rsidR="00F03129" w:rsidRPr="00DD10B0" w:rsidRDefault="00DD10B0" w:rsidP="00DD10B0">
      <w:pPr>
        <w:pStyle w:val="Bibentry"/>
      </w:pPr>
      <w:bookmarkStart w:id="35" w:name="bib34"/>
      <w:bookmarkEnd w:id="35"/>
      <w:r>
        <w:t>&lt;bib id="bib34"</w:t>
      </w:r>
      <w:r w:rsidR="00D7719C">
        <w:t xml:space="preserve"> type="Periodical"</w:t>
      </w:r>
      <w:r>
        <w:t>&gt;&lt;number&gt;34</w:t>
      </w:r>
      <w:r w:rsidR="00D7719C">
        <w:t>.</w:t>
      </w:r>
      <w:r>
        <w:t>&lt;/number&gt;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Wajs</w:t>
      </w:r>
      <w:r>
        <w:rPr>
          <w:bdr w:val="dotted" w:sz="4" w:space="0" w:color="auto"/>
        </w:rPr>
        <w:t xml:space="preserve"> </w:t>
      </w:r>
      <w:r>
        <w:rPr>
          <w:rStyle w:val="FirstName"/>
          <w:bdr w:val="dotted" w:sz="4" w:space="0" w:color="auto"/>
        </w:rPr>
        <w:t>E</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et al. </w:t>
      </w:r>
      <w:r>
        <w:rPr>
          <w:rStyle w:val="ArticleTitle"/>
        </w:rPr>
        <w:t>Comparison of long-term efficacy and safety of esketamine nasal spray plus oral antidepressant in younger versus older patients with treatment-resistant depression: Post-hoc analysis of SUSTAIN-2, a long-term open-label phase 3 safety and efficacy study</w:t>
      </w:r>
      <w:r>
        <w:t xml:space="preserve">. </w:t>
      </w:r>
      <w:r>
        <w:rPr>
          <w:rStyle w:val="JournalTitle"/>
          <w:i/>
        </w:rPr>
        <w:t>Am J Geriatr Psychiatry</w:t>
      </w:r>
      <w:r>
        <w:t xml:space="preserve">. </w:t>
      </w:r>
      <w:r>
        <w:rPr>
          <w:rStyle w:val="Year"/>
        </w:rPr>
        <w:t>2022</w:t>
      </w:r>
      <w:r>
        <w:t>;</w:t>
      </w:r>
      <w:r>
        <w:rPr>
          <w:rStyle w:val="Volume"/>
        </w:rPr>
        <w:t>30</w:t>
      </w:r>
      <w:r>
        <w:t>(</w:t>
      </w:r>
      <w:r>
        <w:rPr>
          <w:rStyle w:val="Issue"/>
        </w:rPr>
        <w:t>5</w:t>
      </w:r>
      <w:r>
        <w:t>):</w:t>
      </w:r>
      <w:r>
        <w:rPr>
          <w:rStyle w:val="Pages"/>
        </w:rPr>
        <w:t>541-556</w:t>
      </w:r>
      <w:r>
        <w:t>.&lt;/bib&gt;</w:t>
      </w:r>
    </w:p>
    <w:p w14:paraId="77866877" w14:textId="752E81AE" w:rsidR="00F03129" w:rsidRPr="00DD10B0" w:rsidRDefault="00DD10B0" w:rsidP="00DD10B0">
      <w:pPr>
        <w:pStyle w:val="Bibentry"/>
      </w:pPr>
      <w:bookmarkStart w:id="36" w:name="bib35"/>
      <w:bookmarkEnd w:id="36"/>
      <w:r>
        <w:t>&lt;bib id="bib35"</w:t>
      </w:r>
      <w:r w:rsidR="00D7719C">
        <w:t xml:space="preserve"> type="Periodical"</w:t>
      </w:r>
      <w:r>
        <w:t>&gt;&lt;number&gt;35.&lt;/number&gt;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Filteau</w:t>
      </w:r>
      <w:r>
        <w:rPr>
          <w:bdr w:val="dotted" w:sz="4" w:space="0" w:color="auto"/>
        </w:rPr>
        <w:t xml:space="preserve"> </w:t>
      </w:r>
      <w:r>
        <w:rPr>
          <w:rStyle w:val="FirstName"/>
          <w:bdr w:val="dotted" w:sz="4" w:space="0" w:color="auto"/>
        </w:rPr>
        <w:t>MJ</w:t>
      </w:r>
      <w:r>
        <w:t xml:space="preserve">, </w:t>
      </w:r>
      <w:r>
        <w:rPr>
          <w:rStyle w:val="Surname"/>
          <w:bdr w:val="dotted" w:sz="4" w:space="0" w:color="auto"/>
        </w:rPr>
        <w:t>Martin</w:t>
      </w:r>
      <w:r>
        <w:rPr>
          <w:bdr w:val="dotted" w:sz="4" w:space="0" w:color="auto"/>
        </w:rPr>
        <w:t xml:space="preserve"> </w:t>
      </w:r>
      <w:r>
        <w:rPr>
          <w:rStyle w:val="FirstName"/>
          <w:bdr w:val="dotted" w:sz="4" w:space="0" w:color="auto"/>
        </w:rPr>
        <w:t>L</w:t>
      </w:r>
      <w:r>
        <w:t xml:space="preserve">, et al. </w:t>
      </w:r>
      <w:r>
        <w:rPr>
          <w:rStyle w:val="ArticleTitle"/>
        </w:rPr>
        <w:t>Treatment-resistant depression: definitions, review of the evidence, and algorithmic approach</w:t>
      </w:r>
      <w:r>
        <w:t xml:space="preserve">. </w:t>
      </w:r>
      <w:r>
        <w:rPr>
          <w:rStyle w:val="JournalTitle"/>
          <w:i/>
        </w:rPr>
        <w:t>J Affect Disord</w:t>
      </w:r>
      <w:r>
        <w:t xml:space="preserve">. </w:t>
      </w:r>
      <w:r>
        <w:rPr>
          <w:rStyle w:val="Year"/>
        </w:rPr>
        <w:t>2014</w:t>
      </w:r>
      <w:r>
        <w:t>;</w:t>
      </w:r>
      <w:r>
        <w:rPr>
          <w:rStyle w:val="Volume"/>
        </w:rPr>
        <w:t>156</w:t>
      </w:r>
      <w:r>
        <w:t>:</w:t>
      </w:r>
      <w:r>
        <w:rPr>
          <w:rStyle w:val="Pages"/>
        </w:rPr>
        <w:t>1-7</w:t>
      </w:r>
      <w:r>
        <w:t>.&lt;/bib&gt;</w:t>
      </w:r>
    </w:p>
    <w:p w14:paraId="7A628886" w14:textId="41F095E3" w:rsidR="00F03129" w:rsidRPr="00DD10B0" w:rsidRDefault="00DD10B0" w:rsidP="00DD10B0">
      <w:pPr>
        <w:pStyle w:val="Bibentry"/>
      </w:pPr>
      <w:bookmarkStart w:id="37" w:name="bib36"/>
      <w:bookmarkEnd w:id="37"/>
      <w:r>
        <w:t>&lt;bib id="bib36"</w:t>
      </w:r>
      <w:r w:rsidR="00D7719C">
        <w:t xml:space="preserve"> type="Periodical"</w:t>
      </w:r>
      <w:r>
        <w:t>&gt;&lt;number&gt;36.&lt;/number&gt;</w:t>
      </w:r>
      <w:r>
        <w:rPr>
          <w:rStyle w:val="Surname"/>
          <w:bdr w:val="dotted" w:sz="4" w:space="0" w:color="auto"/>
        </w:rPr>
        <w:t>Strawn</w:t>
      </w:r>
      <w:r>
        <w:rPr>
          <w:bdr w:val="dotted" w:sz="4" w:space="0" w:color="auto"/>
        </w:rPr>
        <w:t xml:space="preserve"> </w:t>
      </w:r>
      <w:r>
        <w:rPr>
          <w:rStyle w:val="FirstName"/>
          <w:bdr w:val="dotted" w:sz="4" w:space="0" w:color="auto"/>
        </w:rPr>
        <w:t>JR</w:t>
      </w:r>
      <w:r>
        <w:t xml:space="preserve">, </w:t>
      </w:r>
      <w:r>
        <w:rPr>
          <w:rStyle w:val="Surname"/>
          <w:bdr w:val="dotted" w:sz="4" w:space="0" w:color="auto"/>
        </w:rPr>
        <w:t>Mills</w:t>
      </w:r>
      <w:r>
        <w:rPr>
          <w:bdr w:val="dotted" w:sz="4" w:space="0" w:color="auto"/>
        </w:rPr>
        <w:t xml:space="preserve"> </w:t>
      </w:r>
      <w:r>
        <w:rPr>
          <w:rStyle w:val="FirstName"/>
          <w:bdr w:val="dotted" w:sz="4" w:space="0" w:color="auto"/>
        </w:rPr>
        <w:t>JA</w:t>
      </w:r>
      <w:r>
        <w:t xml:space="preserve">, </w:t>
      </w:r>
      <w:r>
        <w:rPr>
          <w:rStyle w:val="Surname"/>
          <w:bdr w:val="dotted" w:sz="4" w:space="0" w:color="auto"/>
        </w:rPr>
        <w:t>Suresh</w:t>
      </w:r>
      <w:r>
        <w:rPr>
          <w:bdr w:val="dotted" w:sz="4" w:space="0" w:color="auto"/>
        </w:rPr>
        <w:t xml:space="preserve"> </w:t>
      </w:r>
      <w:r>
        <w:rPr>
          <w:rStyle w:val="FirstName"/>
          <w:bdr w:val="dotted" w:sz="4" w:space="0" w:color="auto"/>
        </w:rPr>
        <w:t>V</w:t>
      </w:r>
      <w:r>
        <w:t xml:space="preserve">, et al. </w:t>
      </w:r>
      <w:r>
        <w:rPr>
          <w:rStyle w:val="ArticleTitle"/>
        </w:rPr>
        <w:t>The impact of age on antidepressant response: A mega-analysis of individuals with major depressive disorder</w:t>
      </w:r>
      <w:r>
        <w:t xml:space="preserve">. </w:t>
      </w:r>
      <w:r>
        <w:rPr>
          <w:rStyle w:val="JournalTitle"/>
          <w:i/>
        </w:rPr>
        <w:t>J Psychiatr Res</w:t>
      </w:r>
      <w:r>
        <w:t xml:space="preserve">. </w:t>
      </w:r>
      <w:r>
        <w:rPr>
          <w:rStyle w:val="Year"/>
        </w:rPr>
        <w:t>2023</w:t>
      </w:r>
      <w:r>
        <w:t>;</w:t>
      </w:r>
      <w:r>
        <w:rPr>
          <w:rStyle w:val="Volume"/>
        </w:rPr>
        <w:t>159</w:t>
      </w:r>
      <w:r>
        <w:t>:</w:t>
      </w:r>
      <w:r>
        <w:rPr>
          <w:rStyle w:val="Pages"/>
        </w:rPr>
        <w:t>266-273</w:t>
      </w:r>
      <w:r>
        <w:t>.&lt;/bib&gt;</w:t>
      </w:r>
    </w:p>
    <w:p w14:paraId="311C8114" w14:textId="7DA54188" w:rsidR="00F03129" w:rsidRPr="00DD10B0" w:rsidRDefault="00DD10B0" w:rsidP="00DD10B0">
      <w:pPr>
        <w:pStyle w:val="Bibentry"/>
      </w:pPr>
      <w:bookmarkStart w:id="38" w:name="bib37"/>
      <w:bookmarkEnd w:id="38"/>
      <w:r>
        <w:t>&lt;bib id="bib37"</w:t>
      </w:r>
      <w:r w:rsidR="00D7719C">
        <w:t xml:space="preserve"> type="Periodical"</w:t>
      </w:r>
      <w:r>
        <w:t>&gt;&lt;number&gt;37.&lt;/number&gt;</w:t>
      </w:r>
      <w:r>
        <w:rPr>
          <w:rStyle w:val="Surname"/>
          <w:bdr w:val="dotted" w:sz="4" w:space="0" w:color="auto"/>
        </w:rPr>
        <w:t>Popova</w:t>
      </w:r>
      <w:r>
        <w:rPr>
          <w:bdr w:val="dotted" w:sz="4" w:space="0" w:color="auto"/>
        </w:rPr>
        <w:t xml:space="preserve"> </w:t>
      </w:r>
      <w:r>
        <w:rPr>
          <w:rStyle w:val="FirstName"/>
          <w:bdr w:val="dotted" w:sz="4" w:space="0" w:color="auto"/>
        </w:rPr>
        <w:t>V</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Trivedi</w:t>
      </w:r>
      <w:r>
        <w:rPr>
          <w:bdr w:val="dotted" w:sz="4" w:space="0" w:color="auto"/>
        </w:rPr>
        <w:t xml:space="preserve"> </w:t>
      </w:r>
      <w:r>
        <w:rPr>
          <w:rStyle w:val="FirstName"/>
          <w:bdr w:val="dotted" w:sz="4" w:space="0" w:color="auto"/>
        </w:rPr>
        <w:t>M</w:t>
      </w:r>
      <w:r>
        <w:t xml:space="preserve">, et al. </w:t>
      </w:r>
      <w:r>
        <w:rPr>
          <w:rStyle w:val="ArticleTitle"/>
        </w:rPr>
        <w:t>Efficacy and safety of flexibly dosed esketamine nasal spray combined with a newly initiated oral antidepressant in treatment-resistant depression: A randomized double-blind active-controlled study</w:t>
      </w:r>
      <w:r>
        <w:t xml:space="preserve">. </w:t>
      </w:r>
      <w:r>
        <w:rPr>
          <w:rStyle w:val="JournalTitle"/>
          <w:i/>
        </w:rPr>
        <w:t>Am J Psychiatry</w:t>
      </w:r>
      <w:r>
        <w:t xml:space="preserve">. </w:t>
      </w:r>
      <w:r>
        <w:rPr>
          <w:rStyle w:val="Year"/>
        </w:rPr>
        <w:t>2019</w:t>
      </w:r>
      <w:r>
        <w:t>;</w:t>
      </w:r>
      <w:r>
        <w:rPr>
          <w:rStyle w:val="Volume"/>
        </w:rPr>
        <w:t>176</w:t>
      </w:r>
      <w:r>
        <w:t>(</w:t>
      </w:r>
      <w:r>
        <w:rPr>
          <w:rStyle w:val="Issue"/>
        </w:rPr>
        <w:t>6</w:t>
      </w:r>
      <w:r>
        <w:t>):</w:t>
      </w:r>
      <w:r>
        <w:rPr>
          <w:rStyle w:val="Pages"/>
        </w:rPr>
        <w:t>428-438</w:t>
      </w:r>
      <w:r>
        <w:t>.&lt;/bib&gt;</w:t>
      </w:r>
    </w:p>
    <w:p w14:paraId="2D90B49C" w14:textId="02619A1C" w:rsidR="00F03129" w:rsidRPr="00DD10B0" w:rsidRDefault="00DD10B0" w:rsidP="00DD10B0">
      <w:pPr>
        <w:pStyle w:val="Bibentry"/>
      </w:pPr>
      <w:bookmarkStart w:id="39" w:name="bib38"/>
      <w:bookmarkEnd w:id="39"/>
      <w:r>
        <w:t>&lt;bib id="bib38"</w:t>
      </w:r>
      <w:r w:rsidR="00D7719C">
        <w:t xml:space="preserve"> type="Periodical"</w:t>
      </w:r>
      <w:r>
        <w:t>&gt;&lt;number&gt;38.&lt;/number&gt;</w:t>
      </w:r>
      <w:r>
        <w:rPr>
          <w:rStyle w:val="Surname"/>
          <w:bdr w:val="dotted" w:sz="4" w:space="0" w:color="auto"/>
        </w:rPr>
        <w:t>Grunebaum</w:t>
      </w:r>
      <w:r>
        <w:rPr>
          <w:bdr w:val="dotted" w:sz="4" w:space="0" w:color="auto"/>
        </w:rPr>
        <w:t xml:space="preserve"> </w:t>
      </w:r>
      <w:r>
        <w:rPr>
          <w:rStyle w:val="FirstName"/>
          <w:bdr w:val="dotted" w:sz="4" w:space="0" w:color="auto"/>
        </w:rPr>
        <w:t>MF</w:t>
      </w:r>
      <w:r>
        <w:t xml:space="preserve">, </w:t>
      </w:r>
      <w:r>
        <w:rPr>
          <w:rStyle w:val="Surname"/>
          <w:bdr w:val="dotted" w:sz="4" w:space="0" w:color="auto"/>
        </w:rPr>
        <w:t>Galfalvy</w:t>
      </w:r>
      <w:r>
        <w:rPr>
          <w:bdr w:val="dotted" w:sz="4" w:space="0" w:color="auto"/>
        </w:rPr>
        <w:t xml:space="preserve"> </w:t>
      </w:r>
      <w:r>
        <w:rPr>
          <w:rStyle w:val="FirstName"/>
          <w:bdr w:val="dotted" w:sz="4" w:space="0" w:color="auto"/>
        </w:rPr>
        <w:t>HC</w:t>
      </w:r>
      <w:r>
        <w:t xml:space="preserve">, </w:t>
      </w:r>
      <w:r>
        <w:rPr>
          <w:rStyle w:val="Surname"/>
          <w:bdr w:val="dotted" w:sz="4" w:space="0" w:color="auto"/>
        </w:rPr>
        <w:t>Choo</w:t>
      </w:r>
      <w:r>
        <w:rPr>
          <w:bdr w:val="dotted" w:sz="4" w:space="0" w:color="auto"/>
        </w:rPr>
        <w:t xml:space="preserve"> </w:t>
      </w:r>
      <w:r>
        <w:rPr>
          <w:rStyle w:val="FirstName"/>
          <w:bdr w:val="dotted" w:sz="4" w:space="0" w:color="auto"/>
        </w:rPr>
        <w:t>TH</w:t>
      </w:r>
      <w:r>
        <w:t xml:space="preserve">, et al. </w:t>
      </w:r>
      <w:r>
        <w:rPr>
          <w:rStyle w:val="ArticleTitle"/>
        </w:rPr>
        <w:t>Ketamine for rapid reduction of suicidal thoughts in major depression: A midazolam-controlled randomized clinical trial</w:t>
      </w:r>
      <w:r>
        <w:t xml:space="preserve">. </w:t>
      </w:r>
      <w:r>
        <w:rPr>
          <w:rStyle w:val="JournalTitle"/>
          <w:i/>
        </w:rPr>
        <w:t>Am J Psychiatry</w:t>
      </w:r>
      <w:r>
        <w:t xml:space="preserve">. </w:t>
      </w:r>
      <w:r>
        <w:rPr>
          <w:rStyle w:val="Year"/>
        </w:rPr>
        <w:t>2018</w:t>
      </w:r>
      <w:r>
        <w:t>;</w:t>
      </w:r>
      <w:r>
        <w:rPr>
          <w:rStyle w:val="Volume"/>
        </w:rPr>
        <w:t>175</w:t>
      </w:r>
      <w:r>
        <w:t>(</w:t>
      </w:r>
      <w:r>
        <w:rPr>
          <w:rStyle w:val="Issue"/>
        </w:rPr>
        <w:t>4</w:t>
      </w:r>
      <w:r>
        <w:t>):</w:t>
      </w:r>
      <w:r>
        <w:rPr>
          <w:rStyle w:val="Pages"/>
        </w:rPr>
        <w:t>327-335</w:t>
      </w:r>
      <w:r>
        <w:t>.&lt;/bib&gt;</w:t>
      </w:r>
    </w:p>
    <w:p w14:paraId="236D7E12" w14:textId="3D7C89CB" w:rsidR="00F03129" w:rsidRPr="00DD10B0" w:rsidRDefault="00DD10B0" w:rsidP="00DD10B0">
      <w:pPr>
        <w:pStyle w:val="Bibentry"/>
      </w:pPr>
      <w:bookmarkStart w:id="40" w:name="bib39"/>
      <w:bookmarkEnd w:id="40"/>
      <w:r>
        <w:t>&lt;bib id="bib39"</w:t>
      </w:r>
      <w:r w:rsidR="00D7719C">
        <w:t xml:space="preserve"> type="Periodical"</w:t>
      </w:r>
      <w:r>
        <w:t>&gt;&lt;number&gt;39.&lt;/number&gt;</w:t>
      </w:r>
      <w:r>
        <w:rPr>
          <w:rStyle w:val="Surname"/>
          <w:bdr w:val="dotted" w:sz="4" w:space="0" w:color="auto"/>
        </w:rPr>
        <w:t>Wilkinson</w:t>
      </w:r>
      <w:r>
        <w:rPr>
          <w:bdr w:val="dotted" w:sz="4" w:space="0" w:color="auto"/>
        </w:rPr>
        <w:t xml:space="preserve"> </w:t>
      </w:r>
      <w:r>
        <w:rPr>
          <w:rStyle w:val="FirstName"/>
          <w:bdr w:val="dotted" w:sz="4" w:space="0" w:color="auto"/>
        </w:rPr>
        <w:t>ST</w:t>
      </w:r>
      <w:r>
        <w:t xml:space="preserve">, </w:t>
      </w:r>
      <w:r>
        <w:rPr>
          <w:rStyle w:val="Surname"/>
          <w:bdr w:val="dotted" w:sz="4" w:space="0" w:color="auto"/>
        </w:rPr>
        <w:t>Farmer</w:t>
      </w:r>
      <w:r>
        <w:rPr>
          <w:bdr w:val="dotted" w:sz="4" w:space="0" w:color="auto"/>
        </w:rPr>
        <w:t xml:space="preserve"> </w:t>
      </w:r>
      <w:r>
        <w:rPr>
          <w:rStyle w:val="FirstName"/>
          <w:bdr w:val="dotted" w:sz="4" w:space="0" w:color="auto"/>
        </w:rPr>
        <w:t>C</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ED</w:t>
      </w:r>
      <w:r>
        <w:t xml:space="preserve">, et al. </w:t>
      </w:r>
      <w:r>
        <w:rPr>
          <w:rStyle w:val="ArticleTitle"/>
        </w:rPr>
        <w:t>Impact of midazolam vs. saline on effect size estimates in controlled trials of ketamine as a rapid-acting antidepressant</w:t>
      </w:r>
      <w:r>
        <w:t xml:space="preserve">. </w:t>
      </w:r>
      <w:r>
        <w:rPr>
          <w:rStyle w:val="JournalTitle"/>
          <w:i/>
        </w:rPr>
        <w:t>Neuropsychopharmacology</w:t>
      </w:r>
      <w:r>
        <w:t xml:space="preserve">. </w:t>
      </w:r>
      <w:r>
        <w:rPr>
          <w:rStyle w:val="Year"/>
        </w:rPr>
        <w:t>2019</w:t>
      </w:r>
      <w:r>
        <w:t>;</w:t>
      </w:r>
      <w:r>
        <w:rPr>
          <w:rStyle w:val="Volume"/>
        </w:rPr>
        <w:t>44</w:t>
      </w:r>
      <w:r>
        <w:t>(</w:t>
      </w:r>
      <w:r>
        <w:rPr>
          <w:rStyle w:val="Issue"/>
        </w:rPr>
        <w:t>7</w:t>
      </w:r>
      <w:r>
        <w:t>):</w:t>
      </w:r>
      <w:r>
        <w:rPr>
          <w:rStyle w:val="Pages"/>
        </w:rPr>
        <w:t>1233-1238</w:t>
      </w:r>
      <w:r>
        <w:t>.&lt;/bib&gt;</w:t>
      </w:r>
    </w:p>
    <w:p w14:paraId="3A8A3143" w14:textId="4FCEDE3C" w:rsidR="00F03129" w:rsidRPr="00DD10B0" w:rsidRDefault="00DD10B0" w:rsidP="00DD10B0">
      <w:pPr>
        <w:pStyle w:val="Bibentry"/>
      </w:pPr>
      <w:bookmarkStart w:id="41" w:name="bib40"/>
      <w:bookmarkEnd w:id="41"/>
      <w:r>
        <w:t>&lt;bib id="bib40"</w:t>
      </w:r>
      <w:r w:rsidR="00D7719C">
        <w:t xml:space="preserve"> type="Periodical"</w:t>
      </w:r>
      <w:r>
        <w:t>&gt;&lt;number&gt;40.&lt;/number&gt;</w:t>
      </w:r>
      <w:r>
        <w:rPr>
          <w:rStyle w:val="Surname"/>
          <w:bdr w:val="dotted" w:sz="4" w:space="0" w:color="auto"/>
        </w:rPr>
        <w:t>Naismith</w:t>
      </w:r>
      <w:r>
        <w:rPr>
          <w:bdr w:val="dotted" w:sz="4" w:space="0" w:color="auto"/>
        </w:rPr>
        <w:t xml:space="preserve"> </w:t>
      </w:r>
      <w:r>
        <w:rPr>
          <w:rStyle w:val="FirstName"/>
          <w:bdr w:val="dotted" w:sz="4" w:space="0" w:color="auto"/>
        </w:rPr>
        <w:t>SL</w:t>
      </w:r>
      <w:r>
        <w:t xml:space="preserve">, </w:t>
      </w:r>
      <w:r>
        <w:rPr>
          <w:rStyle w:val="Surname"/>
          <w:bdr w:val="dotted" w:sz="4" w:space="0" w:color="auto"/>
        </w:rPr>
        <w:t>Norrie</w:t>
      </w:r>
      <w:r>
        <w:rPr>
          <w:bdr w:val="dotted" w:sz="4" w:space="0" w:color="auto"/>
        </w:rPr>
        <w:t xml:space="preserve"> </w:t>
      </w:r>
      <w:r>
        <w:rPr>
          <w:rStyle w:val="FirstName"/>
          <w:bdr w:val="dotted" w:sz="4" w:space="0" w:color="auto"/>
        </w:rPr>
        <w:t>LM</w:t>
      </w:r>
      <w:r>
        <w:t xml:space="preserve">, </w:t>
      </w:r>
      <w:r>
        <w:rPr>
          <w:rStyle w:val="Surname"/>
          <w:bdr w:val="dotted" w:sz="4" w:space="0" w:color="auto"/>
        </w:rPr>
        <w:t>Mowszowski</w:t>
      </w:r>
      <w:r>
        <w:rPr>
          <w:bdr w:val="dotted" w:sz="4" w:space="0" w:color="auto"/>
        </w:rPr>
        <w:t xml:space="preserve"> </w:t>
      </w:r>
      <w:r>
        <w:rPr>
          <w:rStyle w:val="FirstName"/>
          <w:bdr w:val="dotted" w:sz="4" w:space="0" w:color="auto"/>
        </w:rPr>
        <w:t>L</w:t>
      </w:r>
      <w:r>
        <w:t xml:space="preserve">, </w:t>
      </w:r>
      <w:r>
        <w:rPr>
          <w:rStyle w:val="Surname"/>
          <w:bdr w:val="dotted" w:sz="4" w:space="0" w:color="auto"/>
        </w:rPr>
        <w:t>Hickie</w:t>
      </w:r>
      <w:r>
        <w:rPr>
          <w:bdr w:val="dotted" w:sz="4" w:space="0" w:color="auto"/>
        </w:rPr>
        <w:t xml:space="preserve"> </w:t>
      </w:r>
      <w:r>
        <w:rPr>
          <w:rStyle w:val="FirstName"/>
          <w:bdr w:val="dotted" w:sz="4" w:space="0" w:color="auto"/>
        </w:rPr>
        <w:t>IB.</w:t>
      </w:r>
      <w:r>
        <w:t xml:space="preserve"> </w:t>
      </w:r>
      <w:r>
        <w:rPr>
          <w:rStyle w:val="ArticleTitle"/>
        </w:rPr>
        <w:t>The neurobiology of depression in later-life: Clinical, neuropsychological, neuroimaging and pathophysiological features</w:t>
      </w:r>
      <w:r>
        <w:t xml:space="preserve">. </w:t>
      </w:r>
      <w:r>
        <w:rPr>
          <w:rStyle w:val="JournalTitle"/>
          <w:i/>
        </w:rPr>
        <w:t>Prog Neurobiol</w:t>
      </w:r>
      <w:r>
        <w:t xml:space="preserve">. </w:t>
      </w:r>
      <w:r>
        <w:rPr>
          <w:rStyle w:val="Year"/>
        </w:rPr>
        <w:t>2012</w:t>
      </w:r>
      <w:r>
        <w:t>;</w:t>
      </w:r>
      <w:r>
        <w:rPr>
          <w:rStyle w:val="Volume"/>
        </w:rPr>
        <w:t>98</w:t>
      </w:r>
      <w:r>
        <w:t>(</w:t>
      </w:r>
      <w:r>
        <w:rPr>
          <w:rStyle w:val="Issue"/>
        </w:rPr>
        <w:t>1</w:t>
      </w:r>
      <w:r>
        <w:t>):</w:t>
      </w:r>
      <w:r>
        <w:rPr>
          <w:rStyle w:val="Pages"/>
        </w:rPr>
        <w:t>99-143</w:t>
      </w:r>
      <w:r>
        <w:t>.&lt;/bib&gt;</w:t>
      </w:r>
    </w:p>
    <w:p w14:paraId="12112A10" w14:textId="288B174D" w:rsidR="00DD10B0" w:rsidRPr="00DD10B0" w:rsidRDefault="00DD10B0" w:rsidP="00DD10B0">
      <w:pPr>
        <w:pStyle w:val="Bibentry"/>
      </w:pPr>
      <w:bookmarkStart w:id="42" w:name="bib41"/>
      <w:bookmarkEnd w:id="42"/>
      <w:r>
        <w:t>&lt;bib id="bib41"</w:t>
      </w:r>
      <w:r w:rsidR="00D7719C">
        <w:t xml:space="preserve"> type="Periodical"</w:t>
      </w:r>
      <w:r>
        <w:t>&gt;&lt;number&gt;41.&lt;/number&gt;</w:t>
      </w:r>
      <w:r>
        <w:rPr>
          <w:rStyle w:val="Surname"/>
          <w:bdr w:val="dotted" w:sz="4" w:space="0" w:color="auto"/>
        </w:rPr>
        <w:t>Bayes</w:t>
      </w:r>
      <w:r>
        <w:rPr>
          <w:bdr w:val="dotted" w:sz="4" w:space="0" w:color="auto"/>
        </w:rPr>
        <w:t xml:space="preserve"> </w:t>
      </w:r>
      <w:r>
        <w:rPr>
          <w:rStyle w:val="FirstName"/>
          <w:bdr w:val="dotted" w:sz="4" w:space="0" w:color="auto"/>
        </w:rPr>
        <w:t>A</w:t>
      </w:r>
      <w:r>
        <w:t xml:space="preserve">, </w:t>
      </w:r>
      <w:r>
        <w:rPr>
          <w:rStyle w:val="Surname"/>
          <w:bdr w:val="dotted" w:sz="4" w:space="0" w:color="auto"/>
        </w:rPr>
        <w:t>Dong</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w:t>
      </w:r>
      <w:r>
        <w:rPr>
          <w:rStyle w:val="Surname"/>
          <w:bdr w:val="dotted" w:sz="4" w:space="0" w:color="auto"/>
        </w:rPr>
        <w:t>Alonzo</w:t>
      </w:r>
      <w:r>
        <w:rPr>
          <w:bdr w:val="dotted" w:sz="4" w:space="0" w:color="auto"/>
        </w:rPr>
        <w:t xml:space="preserve"> </w:t>
      </w:r>
      <w:r>
        <w:rPr>
          <w:rStyle w:val="FirstName"/>
          <w:bdr w:val="dotted" w:sz="4" w:space="0" w:color="auto"/>
        </w:rPr>
        <w:t>A</w:t>
      </w:r>
      <w:r>
        <w:t xml:space="preserve">, </w:t>
      </w:r>
      <w:r>
        <w:rPr>
          <w:rStyle w:val="Surname"/>
          <w:bdr w:val="dotted" w:sz="4" w:space="0" w:color="auto"/>
        </w:rPr>
        <w:t>Kabourakis</w:t>
      </w:r>
      <w:r>
        <w:rPr>
          <w:bdr w:val="dotted" w:sz="4" w:space="0" w:color="auto"/>
        </w:rPr>
        <w:t xml:space="preserve"> </w:t>
      </w:r>
      <w:r>
        <w:rPr>
          <w:rStyle w:val="FirstName"/>
          <w:bdr w:val="dotted" w:sz="4" w:space="0" w:color="auto"/>
        </w:rPr>
        <w:t>M</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ArticleTitle"/>
        </w:rPr>
        <w:t>Ketamine treatment for depression: A model of care</w:t>
      </w:r>
      <w:r>
        <w:t xml:space="preserve">. </w:t>
      </w:r>
      <w:r>
        <w:rPr>
          <w:rStyle w:val="JournalTitle"/>
          <w:i/>
        </w:rPr>
        <w:t>Aust N Z J Psychiatry</w:t>
      </w:r>
      <w:r>
        <w:t xml:space="preserve">. </w:t>
      </w:r>
      <w:r>
        <w:rPr>
          <w:rStyle w:val="Year"/>
        </w:rPr>
        <w:t>2021</w:t>
      </w:r>
      <w:r>
        <w:t>;</w:t>
      </w:r>
      <w:r>
        <w:rPr>
          <w:rStyle w:val="Volume"/>
        </w:rPr>
        <w:t>55</w:t>
      </w:r>
      <w:r>
        <w:t>(</w:t>
      </w:r>
      <w:r>
        <w:rPr>
          <w:rStyle w:val="Issue"/>
        </w:rPr>
        <w:t>12</w:t>
      </w:r>
      <w:r>
        <w:t>):</w:t>
      </w:r>
      <w:r>
        <w:rPr>
          <w:rStyle w:val="Pages"/>
        </w:rPr>
        <w:t>1134-1143</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bookmarkStart w:id="43" w:name="fig1"/>
      <w:r w:rsidRPr="008707C4">
        <w:rPr>
          <w:rStyle w:val="Label"/>
          <w:color w:val="0000FF"/>
        </w:rPr>
        <w:t>Figure 1:</w:t>
      </w:r>
      <w:bookmarkEnd w:id="43"/>
      <w:r w:rsidRPr="009446AC">
        <w:t xml:space="preserve"> PRISMA flow chart.</w:t>
      </w:r>
    </w:p>
    <w:p w14:paraId="361688BF" w14:textId="77777777" w:rsidR="00DD10B0" w:rsidRDefault="009446AC" w:rsidP="009446AC">
      <w:pPr>
        <w:pStyle w:val="FigureCaption"/>
      </w:pPr>
      <w:bookmarkStart w:id="44" w:name="fig2"/>
      <w:r w:rsidRPr="008707C4">
        <w:rPr>
          <w:rStyle w:val="Label"/>
          <w:color w:val="0000FF"/>
        </w:rPr>
        <w:t>Figure 2:</w:t>
      </w:r>
      <w:bookmarkEnd w:id="44"/>
      <w:r w:rsidRPr="009446AC">
        <w:t xml:space="preserve"> Risk-of-Bias of Randomized Controlled Trials.</w:t>
      </w:r>
    </w:p>
    <w:p w14:paraId="790C894C" w14:textId="637FBA2F" w:rsidR="00F03129" w:rsidRPr="009446AC" w:rsidRDefault="009446AC" w:rsidP="001832D8">
      <w:pPr>
        <w:pStyle w:val="TableCaption"/>
      </w:pPr>
      <w:bookmarkStart w:id="45" w:name="tb1"/>
      <w:r w:rsidRPr="008707C4">
        <w:rPr>
          <w:rStyle w:val="Label"/>
          <w:color w:val="0000FF"/>
        </w:rPr>
        <w:t>Table 1:</w:t>
      </w:r>
      <w:bookmarkEnd w:id="45"/>
      <w:r w:rsidRPr="009446AC">
        <w:t xml:space="preserve">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571A0E35" w:rsidR="00F03129" w:rsidRPr="00EA0F52" w:rsidRDefault="00CF5E4B">
            <w:pPr>
              <w:widowControl w:val="0"/>
              <w:spacing w:line="480" w:lineRule="auto"/>
            </w:pPr>
            <w:r w:rsidRPr="00EA0F52">
              <w:rPr>
                <w:sz w:val="18"/>
                <w:szCs w:val="18"/>
              </w:rPr>
              <w:t>Mean (SD) = 49.6 (12.28)</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t>Control: Mean (SD) = 49.88</w:t>
            </w:r>
          </w:p>
          <w:p w14:paraId="18C8D2CE" w14:textId="0F12364A" w:rsidR="00F03129" w:rsidRPr="00EA0F52" w:rsidRDefault="00CF5E4B">
            <w:pPr>
              <w:widowControl w:val="0"/>
              <w:spacing w:line="480" w:lineRule="auto"/>
              <w:rPr>
                <w:sz w:val="18"/>
                <w:szCs w:val="18"/>
              </w:rPr>
            </w:pPr>
            <w:r w:rsidRPr="00EA0F52">
              <w:rPr>
                <w:sz w:val="18"/>
                <w:szCs w:val="18"/>
              </w:rPr>
              <w:t>(12.53)</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bookmarkStart w:id="46" w:name="tb1fn1"/>
      <w:r w:rsidRPr="008707C4">
        <w:rPr>
          <w:rStyle w:val="Label"/>
          <w:vertAlign w:val="superscript"/>
        </w:rPr>
        <w:t xml:space="preserve">a </w:t>
      </w:r>
      <w:bookmarkEnd w:id="46"/>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Montgomery–Asberg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bookmarkStart w:id="47" w:name="tb2"/>
      <w:r w:rsidRPr="008707C4">
        <w:rPr>
          <w:rStyle w:val="Label"/>
          <w:color w:val="0000FF"/>
        </w:rPr>
        <w:t>Table 2:</w:t>
      </w:r>
      <w:bookmarkEnd w:id="47"/>
      <w:r w:rsidRPr="001832D8">
        <w:t xml:space="preserve">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IV propofol, up to 2.5 mg/kg bolus, used as anesthetic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P-value (ketamine vs 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NIH Toolbox Cognitive 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All participants experienced motor coordination difficulties impairing ability to self administer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r w:rsidRPr="00EA0F52">
              <w:rPr>
                <w:sz w:val="18"/>
                <w:szCs w:val="18"/>
              </w:rPr>
              <w:t>OIder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IN esketamine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esketamine,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IN esketamine,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r w:rsidRPr="00EA0F52">
              <w:rPr>
                <w:b/>
                <w:sz w:val="18"/>
                <w:szCs w:val="18"/>
              </w:rPr>
              <w:t>Cogstate</w:t>
            </w:r>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Treatment outcomes included only for patients ≥60 years old. Values rounded to two decimal places. Abbreviations: IV, intravenous; CI: confidence interval; MADRS, Montgomery and Asberg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48" w:name="tb3"/>
      <w:bookmarkStart w:id="49" w:name="break"/>
      <w:r w:rsidRPr="008707C4">
        <w:rPr>
          <w:rStyle w:val="Label"/>
          <w:color w:val="0000FF"/>
        </w:rPr>
        <w:t>Table 3:</w:t>
      </w:r>
      <w:bookmarkEnd w:id="48"/>
      <w:r w:rsidRPr="001832D8">
        <w:t xml:space="preserve"> Risk of Bias of Quasi-Experimental Studies</w:t>
      </w:r>
      <w:r w:rsidR="001832D8">
        <w:t>.</w:t>
      </w:r>
    </w:p>
    <w:bookmarkEnd w:id="49"/>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r w:rsidRPr="00EA0F52">
              <w:rPr>
                <w:sz w:val="16"/>
                <w:szCs w:val="16"/>
              </w:rPr>
              <w:t xml:space="preserve">Wajs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r w:rsidRPr="00EA0F52">
              <w:rPr>
                <w:sz w:val="16"/>
                <w:szCs w:val="16"/>
              </w:rPr>
              <w:t xml:space="preserve">Oughli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r w:rsidRPr="00EA0F52">
              <w:rPr>
                <w:sz w:val="16"/>
                <w:szCs w:val="16"/>
              </w:rPr>
              <w:t>Vanderschelden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bookmarkStart w:id="50" w:name="tb4"/>
      <w:r w:rsidRPr="008707C4">
        <w:rPr>
          <w:rStyle w:val="Label"/>
          <w:color w:val="0000FF"/>
        </w:rPr>
        <w:t>Table 4:</w:t>
      </w:r>
      <w:bookmarkEnd w:id="50"/>
      <w:r w:rsidRPr="00EA0F52">
        <w:t xml:space="preserve">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(Wajs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(Wajs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r w:rsidRPr="00EA0F52">
              <w:rPr>
                <w:sz w:val="16"/>
                <w:szCs w:val="16"/>
              </w:rPr>
              <w:t xml:space="preserve">Wajs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r w:rsidRPr="00EA0F52">
              <w:rPr>
                <w:sz w:val="16"/>
                <w:szCs w:val="16"/>
              </w:rPr>
              <w:t>Oughli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(Oughli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r w:rsidRPr="00EA0F52">
              <w:rPr>
                <w:sz w:val="16"/>
                <w:szCs w:val="16"/>
              </w:rPr>
              <w:t>Oughli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Oughli).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ketofol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ketofol.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Hallucination, headache, nausea, delirium were common; no significant difference between ketofol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51" w:name="PrevBreak"/>
      <w:r w:rsidRPr="007640F6">
        <w:t>Abbreviations: RCT, randomized controlled trial; MADRS, Montgomery and Asberg Depression Rating Scale; TEAE, treatment-emergent adverse event; CI, confidence interval; SC, subcutaneous; SD, standard deviation; BP, blood pressure; LFT, liver function test; HRSD, Hamilton Depression Rating Scale; ECT, electroconvulsive therapy;</w:t>
      </w:r>
      <w:bookmarkEnd w:id="51"/>
    </w:p>
    <w:p w14:paraId="7D54EE6D" w14:textId="77777777" w:rsidR="00DD10B0" w:rsidRDefault="00DD10B0" w:rsidP="00BC28A2"/>
    <w:p w14:paraId="5EF4C493" w14:textId="4F5F7FC4" w:rsidR="007640F6" w:rsidRDefault="007640F6" w:rsidP="00BC28A2"/>
    <w:p w14:paraId="0D35DD02" w14:textId="77777777" w:rsidR="006F540B" w:rsidRDefault="006F540B" w:rsidP="00BC28A2"/>
    <w:p w14:paraId="47B819C9" w14:textId="072647CA" w:rsidR="00904D34" w:rsidRPr="00945692" w:rsidRDefault="00904D34" w:rsidP="00BC28A2">
      <w:pPr>
        <w:rPr>
          <w:sz w:val="32"/>
        </w:rPr>
      </w:pPr>
    </w:p>
    <w:sectPr w:rsidR="00904D34" w:rsidRPr="00945692" w:rsidSect="00BC28A2">
      <w:headerReference w:type="default" r:id="rId12"/>
      <w:footerReference w:type="default" r:id="rId13"/>
      <w:pgSz w:w="11907" w:h="16839"/>
      <w:pgMar w:top="1440" w:right="660" w:bottom="1440" w:left="66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itransh Verma" w:date="2025-08-12T12:57:00Z" w:initials="CV">
    <w:p w14:paraId="1CC145FA" w14:textId="2D0CC67B" w:rsidR="00696D7F" w:rsidRDefault="00696D7F">
      <w:pPr>
        <w:pStyle w:val="CommentText"/>
      </w:pPr>
      <w:r>
        <w:rPr>
          <w:rStyle w:val="CommentReference"/>
        </w:rPr>
        <w:annotationRef/>
      </w:r>
      <w:r>
        <w:t>This section comprises references that occur in the reference list but not in the body of the text. Please position each reference in the text or, alternatively, delete it. Any reference not dealt with will be retained in this section.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C145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393FF" w16cex:dateUtc="2025-08-12T0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C145FA" w16cid:durableId="4573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6687" w14:textId="77777777" w:rsidR="00410120" w:rsidRDefault="00410120">
      <w:pPr>
        <w:spacing w:line="240" w:lineRule="auto"/>
      </w:pPr>
      <w:r>
        <w:separator/>
      </w:r>
    </w:p>
  </w:endnote>
  <w:endnote w:type="continuationSeparator" w:id="0">
    <w:p w14:paraId="237E1B4F" w14:textId="77777777" w:rsidR="00410120" w:rsidRDefault="004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5C5A" w14:textId="77777777" w:rsidR="00410120" w:rsidRDefault="00410120">
      <w:pPr>
        <w:spacing w:line="240" w:lineRule="auto"/>
      </w:pPr>
      <w:r>
        <w:separator/>
      </w:r>
    </w:p>
  </w:footnote>
  <w:footnote w:type="continuationSeparator" w:id="0">
    <w:p w14:paraId="240DD6A1" w14:textId="77777777" w:rsidR="00410120" w:rsidRDefault="004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itransh Verma">
    <w15:presenceInfo w15:providerId="Windows Live" w15:userId="ad69daa875b86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24345"/>
    <w:rsid w:val="00144977"/>
    <w:rsid w:val="001521D0"/>
    <w:rsid w:val="001832D8"/>
    <w:rsid w:val="001B18DD"/>
    <w:rsid w:val="001B5308"/>
    <w:rsid w:val="00274DDB"/>
    <w:rsid w:val="00293363"/>
    <w:rsid w:val="002D45E5"/>
    <w:rsid w:val="002F1ED5"/>
    <w:rsid w:val="002F5FE9"/>
    <w:rsid w:val="00316A51"/>
    <w:rsid w:val="003F6EB8"/>
    <w:rsid w:val="00410120"/>
    <w:rsid w:val="0048082A"/>
    <w:rsid w:val="004A1F89"/>
    <w:rsid w:val="005413E8"/>
    <w:rsid w:val="0055168C"/>
    <w:rsid w:val="00580A79"/>
    <w:rsid w:val="00583EEA"/>
    <w:rsid w:val="005869AA"/>
    <w:rsid w:val="0058795F"/>
    <w:rsid w:val="005B1406"/>
    <w:rsid w:val="005C2519"/>
    <w:rsid w:val="005E642A"/>
    <w:rsid w:val="005F0716"/>
    <w:rsid w:val="005F196D"/>
    <w:rsid w:val="00696D7F"/>
    <w:rsid w:val="006E6964"/>
    <w:rsid w:val="006F1EB2"/>
    <w:rsid w:val="006F540B"/>
    <w:rsid w:val="00706B05"/>
    <w:rsid w:val="007640F6"/>
    <w:rsid w:val="007901E5"/>
    <w:rsid w:val="007B0A51"/>
    <w:rsid w:val="008256EF"/>
    <w:rsid w:val="008707C4"/>
    <w:rsid w:val="00897F8B"/>
    <w:rsid w:val="00904D34"/>
    <w:rsid w:val="00910CD6"/>
    <w:rsid w:val="0091727E"/>
    <w:rsid w:val="00917B64"/>
    <w:rsid w:val="00917DC8"/>
    <w:rsid w:val="009446AC"/>
    <w:rsid w:val="00945692"/>
    <w:rsid w:val="00975856"/>
    <w:rsid w:val="009B469A"/>
    <w:rsid w:val="009C2863"/>
    <w:rsid w:val="009E2403"/>
    <w:rsid w:val="00A04F7E"/>
    <w:rsid w:val="00A77BDE"/>
    <w:rsid w:val="00AE38FA"/>
    <w:rsid w:val="00AE74FE"/>
    <w:rsid w:val="00AF5378"/>
    <w:rsid w:val="00B37477"/>
    <w:rsid w:val="00B605B7"/>
    <w:rsid w:val="00B7314D"/>
    <w:rsid w:val="00BC28A2"/>
    <w:rsid w:val="00BD362D"/>
    <w:rsid w:val="00BF6DE4"/>
    <w:rsid w:val="00CC4672"/>
    <w:rsid w:val="00CF260E"/>
    <w:rsid w:val="00CF5E4B"/>
    <w:rsid w:val="00D27A6B"/>
    <w:rsid w:val="00D7719C"/>
    <w:rsid w:val="00D77D4B"/>
    <w:rsid w:val="00D85CEC"/>
    <w:rsid w:val="00DD10B0"/>
    <w:rsid w:val="00E400B2"/>
    <w:rsid w:val="00EA0F52"/>
    <w:rsid w:val="00EA6FF2"/>
    <w:rsid w:val="00F03129"/>
    <w:rsid w:val="00F063F3"/>
    <w:rsid w:val="00F95B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6D"/>
    <w:pPr>
      <w:spacing w:after="200"/>
      <w:jc w:val="left"/>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autoRedefine/>
    <w:uiPriority w:val="9"/>
    <w:qFormat/>
    <w:rsid w:val="005F196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9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9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96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F196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F196D"/>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F196D"/>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F196D"/>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F196D"/>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5F19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196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5F196D"/>
    <w:pPr>
      <w:numPr>
        <w:ilvl w:val="1"/>
      </w:numPr>
    </w:pPr>
    <w:rPr>
      <w:rFonts w:asciiTheme="majorHAnsi" w:eastAsiaTheme="majorEastAsia" w:hAnsiTheme="majorHAnsi" w:cstheme="majorBidi"/>
      <w:iCs/>
      <w:color w:val="4F81BD" w:themeColor="accent1"/>
      <w:spacing w:val="15"/>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5F196D"/>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5F196D"/>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5F196D"/>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5F196D"/>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5F196D"/>
    <w:rPr>
      <w:rFonts w:asciiTheme="minorHAnsi" w:eastAsia="Times New Roman" w:hAnsiTheme="minorHAnsi"/>
      <w:i/>
      <w:sz w:val="24"/>
      <w:szCs w:val="22"/>
      <w:lang w:val="en-GB" w:eastAsia="en-US" w:bidi="ar-DZ"/>
    </w:rPr>
  </w:style>
  <w:style w:type="paragraph" w:customStyle="1" w:styleId="Abstract">
    <w:name w:val="Abstract"/>
    <w:qFormat/>
    <w:rsid w:val="005F196D"/>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5F196D"/>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5F196D"/>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F196D"/>
    <w:rPr>
      <w:color w:val="auto"/>
      <w:bdr w:val="none" w:sz="0" w:space="0" w:color="auto"/>
      <w:shd w:val="clear" w:color="auto" w:fill="CFBFB1"/>
    </w:rPr>
  </w:style>
  <w:style w:type="character" w:styleId="EndnoteReference">
    <w:name w:val="endnote reference"/>
    <w:basedOn w:val="DefaultParagraphFont"/>
    <w:uiPriority w:val="99"/>
    <w:semiHidden/>
    <w:unhideWhenUsed/>
    <w:rsid w:val="005F196D"/>
    <w:rPr>
      <w:vertAlign w:val="superscript"/>
    </w:rPr>
  </w:style>
  <w:style w:type="paragraph" w:styleId="EndnoteText">
    <w:name w:val="endnote text"/>
    <w:basedOn w:val="Normal"/>
    <w:link w:val="EndnoteTextChar"/>
    <w:uiPriority w:val="99"/>
    <w:semiHidden/>
    <w:unhideWhenUsed/>
    <w:rsid w:val="005F19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96D"/>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5F196D"/>
    <w:rPr>
      <w:color w:val="800080" w:themeColor="followedHyperlink"/>
      <w:u w:val="single"/>
    </w:rPr>
  </w:style>
  <w:style w:type="character" w:styleId="FootnoteReference">
    <w:name w:val="footnote reference"/>
    <w:basedOn w:val="DefaultParagraphFont"/>
    <w:uiPriority w:val="99"/>
    <w:semiHidden/>
    <w:unhideWhenUsed/>
    <w:rsid w:val="005F196D"/>
    <w:rPr>
      <w:vertAlign w:val="superscript"/>
    </w:rPr>
  </w:style>
  <w:style w:type="paragraph" w:customStyle="1" w:styleId="Head1">
    <w:name w:val="Head1"/>
    <w:rsid w:val="005F196D"/>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5F196D"/>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5F196D"/>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5F196D"/>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5F196D"/>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5F196D"/>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5F196D"/>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5F196D"/>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5F196D"/>
    <w:rPr>
      <w:color w:val="C0504D" w:themeColor="accent2"/>
    </w:rPr>
  </w:style>
  <w:style w:type="character" w:styleId="Hyperlink">
    <w:name w:val="Hyperlink"/>
    <w:basedOn w:val="DefaultParagraphFont"/>
    <w:uiPriority w:val="99"/>
    <w:unhideWhenUsed/>
    <w:rsid w:val="005F196D"/>
    <w:rPr>
      <w:color w:val="0000FF" w:themeColor="hyperlink"/>
      <w:u w:val="single"/>
    </w:rPr>
  </w:style>
  <w:style w:type="paragraph" w:customStyle="1" w:styleId="Titledocument">
    <w:name w:val="Title_document"/>
    <w:autoRedefine/>
    <w:qFormat/>
    <w:rsid w:val="005F196D"/>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5F196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F196D"/>
    <w:rPr>
      <w:color w:val="auto"/>
      <w:bdr w:val="none" w:sz="0" w:space="0" w:color="auto"/>
      <w:shd w:val="clear" w:color="auto" w:fill="FFFF49"/>
    </w:rPr>
  </w:style>
  <w:style w:type="paragraph" w:customStyle="1" w:styleId="RectoRRH">
    <w:name w:val="Recto_(RRH)"/>
    <w:autoRedefine/>
    <w:qFormat/>
    <w:rsid w:val="005F196D"/>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5F196D"/>
    <w:rPr>
      <w:color w:val="auto"/>
      <w:bdr w:val="none" w:sz="0" w:space="0" w:color="auto"/>
      <w:shd w:val="clear" w:color="auto" w:fill="FF3300"/>
    </w:rPr>
  </w:style>
  <w:style w:type="paragraph" w:customStyle="1" w:styleId="VersoLRH">
    <w:name w:val="Verso_(LRH)"/>
    <w:autoRedefine/>
    <w:qFormat/>
    <w:rsid w:val="005F196D"/>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5F196D"/>
    <w:rPr>
      <w:color w:val="auto"/>
      <w:bdr w:val="none" w:sz="0" w:space="0" w:color="auto"/>
      <w:shd w:val="clear" w:color="auto" w:fill="FFCC66"/>
    </w:rPr>
  </w:style>
  <w:style w:type="character" w:customStyle="1" w:styleId="Heading4Char">
    <w:name w:val="Heading 4 Char"/>
    <w:basedOn w:val="DefaultParagraphFont"/>
    <w:link w:val="Heading4"/>
    <w:uiPriority w:val="9"/>
    <w:rsid w:val="005F196D"/>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5F196D"/>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5F196D"/>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5F196D"/>
    <w:rPr>
      <w:color w:val="auto"/>
      <w:bdr w:val="none" w:sz="0" w:space="0" w:color="auto"/>
      <w:shd w:val="clear" w:color="auto" w:fill="D279FF"/>
    </w:rPr>
  </w:style>
  <w:style w:type="character" w:customStyle="1" w:styleId="Degree">
    <w:name w:val="Degree"/>
    <w:basedOn w:val="DefaultParagraphFont"/>
    <w:uiPriority w:val="1"/>
    <w:qFormat/>
    <w:rsid w:val="005F196D"/>
    <w:rPr>
      <w:color w:val="auto"/>
      <w:bdr w:val="none" w:sz="0" w:space="0" w:color="auto"/>
      <w:shd w:val="clear" w:color="auto" w:fill="00C400"/>
    </w:rPr>
  </w:style>
  <w:style w:type="character" w:customStyle="1" w:styleId="Role">
    <w:name w:val="Role"/>
    <w:basedOn w:val="DefaultParagraphFont"/>
    <w:uiPriority w:val="1"/>
    <w:qFormat/>
    <w:rsid w:val="005F196D"/>
    <w:rPr>
      <w:color w:val="92D050"/>
    </w:rPr>
  </w:style>
  <w:style w:type="paragraph" w:customStyle="1" w:styleId="AbsHead">
    <w:name w:val="AbsHead"/>
    <w:link w:val="AbsHeadChar"/>
    <w:autoRedefine/>
    <w:qFormat/>
    <w:rsid w:val="005F196D"/>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5F196D"/>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5F196D"/>
    <w:rPr>
      <w:color w:val="FF0000"/>
    </w:rPr>
  </w:style>
  <w:style w:type="paragraph" w:customStyle="1" w:styleId="AckHead">
    <w:name w:val="AckHead"/>
    <w:link w:val="AckHeadChar"/>
    <w:autoRedefine/>
    <w:qFormat/>
    <w:rsid w:val="005F196D"/>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5F196D"/>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5F196D"/>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5F196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F196D"/>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5F196D"/>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5F196D"/>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5F196D"/>
    <w:rPr>
      <w:color w:val="auto"/>
      <w:bdr w:val="none" w:sz="0" w:space="0" w:color="auto"/>
      <w:shd w:val="clear" w:color="auto" w:fill="CCCCFF"/>
    </w:rPr>
  </w:style>
  <w:style w:type="paragraph" w:customStyle="1" w:styleId="AuthNotes">
    <w:name w:val="AuthNotes"/>
    <w:qFormat/>
    <w:rsid w:val="005F196D"/>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F196D"/>
    <w:rPr>
      <w:color w:val="8064A2" w:themeColor="accent4"/>
    </w:rPr>
  </w:style>
  <w:style w:type="paragraph" w:customStyle="1" w:styleId="Authors">
    <w:name w:val="Authors"/>
    <w:link w:val="AuthorsChar"/>
    <w:autoRedefine/>
    <w:qFormat/>
    <w:rsid w:val="005F196D"/>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5F196D"/>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5F196D"/>
    <w:rPr>
      <w:color w:val="auto"/>
      <w:bdr w:val="none" w:sz="0" w:space="0" w:color="auto"/>
      <w:shd w:val="clear" w:color="auto" w:fill="FFD9B3"/>
    </w:rPr>
  </w:style>
  <w:style w:type="paragraph" w:customStyle="1" w:styleId="BoxText">
    <w:name w:val="BoxText"/>
    <w:qFormat/>
    <w:rsid w:val="005F196D"/>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F196D"/>
    <w:rPr>
      <w:rFonts w:asciiTheme="majorHAnsi" w:hAnsiTheme="majorHAnsi" w:cs="Times New Roman"/>
      <w:sz w:val="24"/>
      <w:szCs w:val="24"/>
    </w:rPr>
  </w:style>
  <w:style w:type="character" w:customStyle="1" w:styleId="City">
    <w:name w:val="City"/>
    <w:basedOn w:val="DefaultParagraphFont"/>
    <w:uiPriority w:val="1"/>
    <w:qFormat/>
    <w:rsid w:val="005F196D"/>
    <w:rPr>
      <w:color w:val="auto"/>
      <w:bdr w:val="none" w:sz="0" w:space="0" w:color="auto"/>
      <w:shd w:val="clear" w:color="auto" w:fill="66FFFF"/>
    </w:rPr>
  </w:style>
  <w:style w:type="character" w:customStyle="1" w:styleId="Collab">
    <w:name w:val="Collab"/>
    <w:basedOn w:val="DefaultParagraphFont"/>
    <w:uiPriority w:val="1"/>
    <w:qFormat/>
    <w:rsid w:val="005F196D"/>
    <w:rPr>
      <w:color w:val="auto"/>
      <w:bdr w:val="none" w:sz="0" w:space="0" w:color="auto"/>
      <w:shd w:val="clear" w:color="auto" w:fill="5F5F5F"/>
    </w:rPr>
  </w:style>
  <w:style w:type="character" w:customStyle="1" w:styleId="ConfDate">
    <w:name w:val="ConfDate"/>
    <w:basedOn w:val="DefaultParagraphFont"/>
    <w:uiPriority w:val="1"/>
    <w:rsid w:val="005F196D"/>
    <w:rPr>
      <w:rFonts w:ascii="Times New Roman" w:hAnsi="Times New Roman"/>
      <w:color w:val="FF0066"/>
      <w:sz w:val="20"/>
    </w:rPr>
  </w:style>
  <w:style w:type="character" w:customStyle="1" w:styleId="ConfLoc">
    <w:name w:val="ConfLoc"/>
    <w:basedOn w:val="DefaultParagraphFont"/>
    <w:uiPriority w:val="1"/>
    <w:rsid w:val="005F196D"/>
    <w:rPr>
      <w:color w:val="003300"/>
      <w:bdr w:val="none" w:sz="0" w:space="0" w:color="auto"/>
      <w:shd w:val="clear" w:color="auto" w:fill="9999FF"/>
    </w:rPr>
  </w:style>
  <w:style w:type="character" w:customStyle="1" w:styleId="ConfName">
    <w:name w:val="ConfName"/>
    <w:basedOn w:val="DefaultParagraphFont"/>
    <w:uiPriority w:val="1"/>
    <w:qFormat/>
    <w:rsid w:val="005F196D"/>
    <w:rPr>
      <w:color w:val="15BDBD"/>
    </w:rPr>
  </w:style>
  <w:style w:type="paragraph" w:customStyle="1" w:styleId="Correspondence">
    <w:name w:val="Correspondence"/>
    <w:basedOn w:val="Normal"/>
    <w:link w:val="CorrespondenceChar"/>
    <w:autoRedefine/>
    <w:qFormat/>
    <w:rsid w:val="005F196D"/>
    <w:rPr>
      <w:color w:val="215868" w:themeColor="accent5" w:themeShade="80"/>
    </w:rPr>
  </w:style>
  <w:style w:type="character" w:customStyle="1" w:styleId="CorrespondenceChar">
    <w:name w:val="Correspondence Char"/>
    <w:basedOn w:val="DefaultParagraphFont"/>
    <w:link w:val="Correspondence"/>
    <w:rsid w:val="005F196D"/>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5F196D"/>
    <w:rPr>
      <w:color w:val="auto"/>
      <w:bdr w:val="none" w:sz="0" w:space="0" w:color="auto"/>
      <w:shd w:val="clear" w:color="auto" w:fill="00A5E0"/>
    </w:rPr>
  </w:style>
  <w:style w:type="paragraph" w:customStyle="1" w:styleId="DefItem">
    <w:name w:val="DefItem"/>
    <w:basedOn w:val="Normal"/>
    <w:autoRedefine/>
    <w:qFormat/>
    <w:rsid w:val="005F196D"/>
    <w:pPr>
      <w:spacing w:after="80"/>
      <w:ind w:left="720"/>
    </w:pPr>
    <w:rPr>
      <w:color w:val="632423" w:themeColor="accent2" w:themeShade="80"/>
    </w:rPr>
  </w:style>
  <w:style w:type="paragraph" w:customStyle="1" w:styleId="DisplayFormula">
    <w:name w:val="DisplayFormula"/>
    <w:basedOn w:val="Normal"/>
    <w:link w:val="DisplayFormulaChar"/>
    <w:qFormat/>
    <w:rsid w:val="005F196D"/>
    <w:pPr>
      <w:ind w:left="720"/>
    </w:pPr>
    <w:rPr>
      <w:color w:val="632423" w:themeColor="accent2" w:themeShade="80"/>
    </w:rPr>
  </w:style>
  <w:style w:type="character" w:customStyle="1" w:styleId="DisplayFormulaChar">
    <w:name w:val="DisplayFormula Char"/>
    <w:basedOn w:val="DefaultParagraphFont"/>
    <w:link w:val="DisplayFormula"/>
    <w:rsid w:val="005F196D"/>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5F196D"/>
    <w:rPr>
      <w:color w:val="auto"/>
      <w:bdr w:val="none" w:sz="0" w:space="0" w:color="auto"/>
      <w:shd w:val="clear" w:color="auto" w:fill="FFD1E8"/>
    </w:rPr>
  </w:style>
  <w:style w:type="character" w:customStyle="1" w:styleId="Edition">
    <w:name w:val="Edition"/>
    <w:basedOn w:val="DefaultParagraphFont"/>
    <w:uiPriority w:val="1"/>
    <w:qFormat/>
    <w:rsid w:val="005F196D"/>
    <w:rPr>
      <w:color w:val="auto"/>
      <w:bdr w:val="none" w:sz="0" w:space="0" w:color="auto"/>
      <w:shd w:val="clear" w:color="auto" w:fill="9999FF"/>
    </w:rPr>
  </w:style>
  <w:style w:type="character" w:customStyle="1" w:styleId="EdSurname">
    <w:name w:val="EdSurname"/>
    <w:basedOn w:val="DefaultParagraphFont"/>
    <w:uiPriority w:val="1"/>
    <w:qFormat/>
    <w:rsid w:val="005F196D"/>
    <w:rPr>
      <w:color w:val="auto"/>
      <w:bdr w:val="none" w:sz="0" w:space="0" w:color="auto"/>
      <w:shd w:val="clear" w:color="auto" w:fill="FF95CA"/>
    </w:rPr>
  </w:style>
  <w:style w:type="character" w:customStyle="1" w:styleId="Email">
    <w:name w:val="Email"/>
    <w:basedOn w:val="DefaultParagraphFont"/>
    <w:uiPriority w:val="1"/>
    <w:qFormat/>
    <w:rsid w:val="005F196D"/>
    <w:rPr>
      <w:color w:val="0808B8"/>
    </w:rPr>
  </w:style>
  <w:style w:type="character" w:customStyle="1" w:styleId="Fax">
    <w:name w:val="Fax"/>
    <w:basedOn w:val="DefaultParagraphFont"/>
    <w:uiPriority w:val="1"/>
    <w:qFormat/>
    <w:rsid w:val="005F196D"/>
    <w:rPr>
      <w:color w:val="C00000"/>
    </w:rPr>
  </w:style>
  <w:style w:type="paragraph" w:customStyle="1" w:styleId="FigNote">
    <w:name w:val="FigNote"/>
    <w:basedOn w:val="TableFootnote"/>
    <w:qFormat/>
    <w:rsid w:val="005F196D"/>
  </w:style>
  <w:style w:type="paragraph" w:customStyle="1" w:styleId="FigureCaption">
    <w:name w:val="FigureCaption"/>
    <w:link w:val="FigureCaptionChar"/>
    <w:autoRedefine/>
    <w:qFormat/>
    <w:rsid w:val="005F196D"/>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5F196D"/>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5F196D"/>
    <w:rPr>
      <w:color w:val="auto"/>
      <w:bdr w:val="none" w:sz="0" w:space="0" w:color="auto"/>
      <w:shd w:val="clear" w:color="auto" w:fill="DDDDDD"/>
    </w:rPr>
  </w:style>
  <w:style w:type="character" w:customStyle="1" w:styleId="focus">
    <w:name w:val="focus"/>
    <w:basedOn w:val="DefaultParagraphFont"/>
    <w:rsid w:val="005F196D"/>
  </w:style>
  <w:style w:type="paragraph" w:customStyle="1" w:styleId="GlossaryHead">
    <w:name w:val="GlossaryHead"/>
    <w:basedOn w:val="Head1"/>
    <w:qFormat/>
    <w:rsid w:val="005F196D"/>
    <w:rPr>
      <w:rFonts w:asciiTheme="majorHAnsi" w:hAnsiTheme="majorHAnsi"/>
      <w:color w:val="943634" w:themeColor="accent2" w:themeShade="BF"/>
      <w:sz w:val="28"/>
    </w:rPr>
  </w:style>
  <w:style w:type="character" w:customStyle="1" w:styleId="Issue">
    <w:name w:val="Issue"/>
    <w:basedOn w:val="DefaultParagraphFont"/>
    <w:uiPriority w:val="1"/>
    <w:qFormat/>
    <w:rsid w:val="005F196D"/>
    <w:rPr>
      <w:color w:val="auto"/>
      <w:bdr w:val="none" w:sz="0" w:space="0" w:color="auto"/>
      <w:shd w:val="clear" w:color="auto" w:fill="C8BE84"/>
    </w:rPr>
  </w:style>
  <w:style w:type="character" w:customStyle="1" w:styleId="JournalTitle">
    <w:name w:val="JournalTitle"/>
    <w:basedOn w:val="DefaultParagraphFont"/>
    <w:uiPriority w:val="1"/>
    <w:qFormat/>
    <w:rsid w:val="005F196D"/>
    <w:rPr>
      <w:color w:val="auto"/>
      <w:bdr w:val="none" w:sz="0" w:space="0" w:color="auto"/>
      <w:shd w:val="clear" w:color="auto" w:fill="CCFF99"/>
    </w:rPr>
  </w:style>
  <w:style w:type="paragraph" w:customStyle="1" w:styleId="KeyWordHead">
    <w:name w:val="KeyWordHead"/>
    <w:basedOn w:val="Normal"/>
    <w:autoRedefine/>
    <w:qFormat/>
    <w:rsid w:val="005F196D"/>
    <w:rPr>
      <w:color w:val="4F81BD" w:themeColor="accent1"/>
      <w:sz w:val="28"/>
    </w:rPr>
  </w:style>
  <w:style w:type="paragraph" w:customStyle="1" w:styleId="KeyWords">
    <w:name w:val="KeyWords"/>
    <w:basedOn w:val="Normal"/>
    <w:qFormat/>
    <w:rsid w:val="005F196D"/>
    <w:pPr>
      <w:ind w:left="720"/>
    </w:pPr>
    <w:rPr>
      <w:color w:val="244061" w:themeColor="accent1" w:themeShade="80"/>
      <w:sz w:val="20"/>
    </w:rPr>
  </w:style>
  <w:style w:type="character" w:customStyle="1" w:styleId="Label">
    <w:name w:val="Label"/>
    <w:basedOn w:val="DefaultParagraphFont"/>
    <w:uiPriority w:val="1"/>
    <w:qFormat/>
    <w:rsid w:val="005F196D"/>
    <w:rPr>
      <w:b w:val="0"/>
      <w:color w:val="0070C0"/>
    </w:rPr>
  </w:style>
  <w:style w:type="character" w:customStyle="1" w:styleId="MiscDate">
    <w:name w:val="MiscDate"/>
    <w:basedOn w:val="DefaultParagraphFont"/>
    <w:uiPriority w:val="1"/>
    <w:qFormat/>
    <w:rsid w:val="005F196D"/>
    <w:rPr>
      <w:color w:val="7030A0"/>
    </w:rPr>
  </w:style>
  <w:style w:type="character" w:customStyle="1" w:styleId="name-alternative">
    <w:name w:val="name-alternative"/>
    <w:basedOn w:val="DefaultParagraphFont"/>
    <w:uiPriority w:val="1"/>
    <w:qFormat/>
    <w:rsid w:val="005F196D"/>
    <w:rPr>
      <w:color w:val="0D0D0D" w:themeColor="text1" w:themeTint="F2"/>
    </w:rPr>
  </w:style>
  <w:style w:type="paragraph" w:customStyle="1" w:styleId="NomenclatureHead">
    <w:name w:val="NomenclatureHead"/>
    <w:basedOn w:val="Normal"/>
    <w:qFormat/>
    <w:rsid w:val="005F196D"/>
    <w:rPr>
      <w:rFonts w:asciiTheme="majorHAnsi" w:hAnsiTheme="majorHAnsi"/>
      <w:color w:val="943634" w:themeColor="accent2" w:themeShade="BF"/>
      <w:sz w:val="28"/>
    </w:rPr>
  </w:style>
  <w:style w:type="character" w:customStyle="1" w:styleId="OrgDiv">
    <w:name w:val="OrgDiv"/>
    <w:basedOn w:val="DefaultParagraphFont"/>
    <w:uiPriority w:val="1"/>
    <w:qFormat/>
    <w:rsid w:val="005F196D"/>
    <w:rPr>
      <w:color w:val="548DD4" w:themeColor="text2" w:themeTint="99"/>
    </w:rPr>
  </w:style>
  <w:style w:type="character" w:customStyle="1" w:styleId="OrgName">
    <w:name w:val="OrgName"/>
    <w:basedOn w:val="DefaultParagraphFont"/>
    <w:uiPriority w:val="1"/>
    <w:qFormat/>
    <w:rsid w:val="005F196D"/>
    <w:rPr>
      <w:color w:val="17365D" w:themeColor="text2" w:themeShade="BF"/>
    </w:rPr>
  </w:style>
  <w:style w:type="paragraph" w:customStyle="1" w:styleId="Para">
    <w:name w:val="Para"/>
    <w:rsid w:val="005F196D"/>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5F196D"/>
    <w:rPr>
      <w:color w:val="0000FF"/>
    </w:rPr>
  </w:style>
  <w:style w:type="character" w:customStyle="1" w:styleId="Phone">
    <w:name w:val="Phone"/>
    <w:basedOn w:val="DefaultParagraphFont"/>
    <w:uiPriority w:val="1"/>
    <w:qFormat/>
    <w:rsid w:val="005F196D"/>
    <w:rPr>
      <w:color w:val="A0502C"/>
    </w:rPr>
  </w:style>
  <w:style w:type="character" w:customStyle="1" w:styleId="PinCode">
    <w:name w:val="PinCode"/>
    <w:basedOn w:val="DefaultParagraphFont"/>
    <w:uiPriority w:val="1"/>
    <w:qFormat/>
    <w:rsid w:val="005F196D"/>
    <w:rPr>
      <w:color w:val="808000"/>
    </w:rPr>
  </w:style>
  <w:style w:type="character" w:styleId="PlaceholderText">
    <w:name w:val="Placeholder Text"/>
    <w:basedOn w:val="DefaultParagraphFont"/>
    <w:uiPriority w:val="99"/>
    <w:semiHidden/>
    <w:rsid w:val="005F196D"/>
    <w:rPr>
      <w:color w:val="808080"/>
    </w:rPr>
  </w:style>
  <w:style w:type="paragraph" w:customStyle="1" w:styleId="Poem">
    <w:name w:val="Poem"/>
    <w:basedOn w:val="Normal"/>
    <w:qFormat/>
    <w:rsid w:val="005F196D"/>
    <w:pPr>
      <w:spacing w:after="0"/>
      <w:ind w:left="1440"/>
    </w:pPr>
    <w:rPr>
      <w:color w:val="4F6228" w:themeColor="accent3" w:themeShade="80"/>
    </w:rPr>
  </w:style>
  <w:style w:type="paragraph" w:customStyle="1" w:styleId="PoemSource">
    <w:name w:val="PoemSource"/>
    <w:basedOn w:val="Normal"/>
    <w:qFormat/>
    <w:rsid w:val="005F196D"/>
    <w:pPr>
      <w:jc w:val="right"/>
    </w:pPr>
    <w:rPr>
      <w:color w:val="4F6228" w:themeColor="accent3" w:themeShade="80"/>
    </w:rPr>
  </w:style>
  <w:style w:type="character" w:customStyle="1" w:styleId="Prefix">
    <w:name w:val="Prefix"/>
    <w:basedOn w:val="DefaultParagraphFont"/>
    <w:uiPriority w:val="1"/>
    <w:qFormat/>
    <w:rsid w:val="005F196D"/>
    <w:rPr>
      <w:color w:val="auto"/>
      <w:bdr w:val="none" w:sz="0" w:space="0" w:color="auto"/>
      <w:shd w:val="clear" w:color="auto" w:fill="FF8633"/>
    </w:rPr>
  </w:style>
  <w:style w:type="paragraph" w:customStyle="1" w:styleId="Source">
    <w:name w:val="Source"/>
    <w:basedOn w:val="Normal"/>
    <w:qFormat/>
    <w:rsid w:val="005F196D"/>
    <w:pPr>
      <w:ind w:left="720"/>
      <w:jc w:val="right"/>
    </w:pPr>
  </w:style>
  <w:style w:type="character" w:customStyle="1" w:styleId="ReceivedDate">
    <w:name w:val="ReceivedDate"/>
    <w:basedOn w:val="DefaultParagraphFont"/>
    <w:uiPriority w:val="1"/>
    <w:qFormat/>
    <w:rsid w:val="005F196D"/>
    <w:rPr>
      <w:color w:val="00B050"/>
    </w:rPr>
  </w:style>
  <w:style w:type="paragraph" w:customStyle="1" w:styleId="ReferenceHead">
    <w:name w:val="ReferenceHead"/>
    <w:basedOn w:val="Normal"/>
    <w:autoRedefine/>
    <w:qFormat/>
    <w:rsid w:val="005F196D"/>
    <w:rPr>
      <w:color w:val="002060"/>
      <w:sz w:val="28"/>
    </w:rPr>
  </w:style>
  <w:style w:type="character" w:customStyle="1" w:styleId="RefMisc">
    <w:name w:val="RefMisc"/>
    <w:basedOn w:val="DefaultParagraphFont"/>
    <w:uiPriority w:val="1"/>
    <w:qFormat/>
    <w:rsid w:val="005F196D"/>
    <w:rPr>
      <w:color w:val="auto"/>
      <w:bdr w:val="none" w:sz="0" w:space="0" w:color="auto"/>
      <w:shd w:val="clear" w:color="auto" w:fill="FF9933"/>
    </w:rPr>
  </w:style>
  <w:style w:type="character" w:customStyle="1" w:styleId="RevisedDate">
    <w:name w:val="RevisedDate"/>
    <w:basedOn w:val="DefaultParagraphFont"/>
    <w:uiPriority w:val="1"/>
    <w:qFormat/>
    <w:rsid w:val="005F196D"/>
    <w:rPr>
      <w:color w:val="0070C0"/>
    </w:rPr>
  </w:style>
  <w:style w:type="paragraph" w:customStyle="1" w:styleId="SignatureAff">
    <w:name w:val="SignatureAff"/>
    <w:basedOn w:val="Normal"/>
    <w:qFormat/>
    <w:rsid w:val="005F196D"/>
    <w:pPr>
      <w:jc w:val="right"/>
    </w:pPr>
  </w:style>
  <w:style w:type="paragraph" w:customStyle="1" w:styleId="SignatureBlock">
    <w:name w:val="SignatureBlock"/>
    <w:basedOn w:val="Normal"/>
    <w:qFormat/>
    <w:rsid w:val="005F196D"/>
    <w:pPr>
      <w:jc w:val="right"/>
    </w:pPr>
    <w:rPr>
      <w:bdr w:val="dotted" w:sz="4" w:space="0" w:color="auto"/>
    </w:rPr>
  </w:style>
  <w:style w:type="character" w:customStyle="1" w:styleId="State">
    <w:name w:val="State"/>
    <w:basedOn w:val="DefaultParagraphFont"/>
    <w:uiPriority w:val="1"/>
    <w:qFormat/>
    <w:rsid w:val="005F196D"/>
    <w:rPr>
      <w:color w:val="A70B38"/>
    </w:rPr>
  </w:style>
  <w:style w:type="paragraph" w:customStyle="1" w:styleId="StatementItalic">
    <w:name w:val="StatementItalic"/>
    <w:basedOn w:val="Normal"/>
    <w:autoRedefine/>
    <w:qFormat/>
    <w:rsid w:val="005F196D"/>
    <w:pPr>
      <w:ind w:left="720"/>
    </w:pPr>
    <w:rPr>
      <w:i/>
      <w:sz w:val="20"/>
    </w:rPr>
  </w:style>
  <w:style w:type="paragraph" w:customStyle="1" w:styleId="Statements">
    <w:name w:val="Statements"/>
    <w:basedOn w:val="Normal"/>
    <w:qFormat/>
    <w:rsid w:val="005F196D"/>
    <w:pPr>
      <w:ind w:left="720"/>
    </w:pPr>
    <w:rPr>
      <w:sz w:val="20"/>
    </w:rPr>
  </w:style>
  <w:style w:type="character" w:customStyle="1" w:styleId="Street">
    <w:name w:val="Street"/>
    <w:basedOn w:val="DefaultParagraphFont"/>
    <w:uiPriority w:val="1"/>
    <w:qFormat/>
    <w:rsid w:val="005F196D"/>
    <w:rPr>
      <w:color w:val="auto"/>
      <w:bdr w:val="none" w:sz="0" w:space="0" w:color="auto"/>
      <w:shd w:val="clear" w:color="auto" w:fill="00CC99"/>
    </w:rPr>
  </w:style>
  <w:style w:type="character" w:styleId="Strong">
    <w:name w:val="Strong"/>
    <w:basedOn w:val="DefaultParagraphFont"/>
    <w:uiPriority w:val="22"/>
    <w:qFormat/>
    <w:rsid w:val="005F196D"/>
    <w:rPr>
      <w:b/>
      <w:bCs/>
    </w:rPr>
  </w:style>
  <w:style w:type="character" w:customStyle="1" w:styleId="Suffix">
    <w:name w:val="Suffix"/>
    <w:basedOn w:val="DefaultParagraphFont"/>
    <w:uiPriority w:val="1"/>
    <w:qFormat/>
    <w:rsid w:val="005F196D"/>
    <w:rPr>
      <w:color w:val="auto"/>
      <w:bdr w:val="none" w:sz="0" w:space="0" w:color="auto"/>
      <w:shd w:val="clear" w:color="auto" w:fill="FFA86D"/>
    </w:rPr>
  </w:style>
  <w:style w:type="character" w:customStyle="1" w:styleId="Surname">
    <w:name w:val="Surname"/>
    <w:basedOn w:val="DefaultParagraphFont"/>
    <w:uiPriority w:val="1"/>
    <w:qFormat/>
    <w:rsid w:val="005F196D"/>
    <w:rPr>
      <w:color w:val="auto"/>
      <w:bdr w:val="none" w:sz="0" w:space="0" w:color="auto"/>
      <w:shd w:val="clear" w:color="auto" w:fill="BCBCBC"/>
    </w:rPr>
  </w:style>
  <w:style w:type="paragraph" w:customStyle="1" w:styleId="TableCaption">
    <w:name w:val="TableCaption"/>
    <w:link w:val="TableCaptionChar"/>
    <w:autoRedefine/>
    <w:qFormat/>
    <w:rsid w:val="005F196D"/>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5F196D"/>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5F196D"/>
    <w:pPr>
      <w:spacing w:after="0"/>
    </w:pPr>
    <w:rPr>
      <w:rFonts w:asciiTheme="majorHAnsi" w:hAnsiTheme="majorHAnsi"/>
      <w:sz w:val="18"/>
    </w:rPr>
  </w:style>
  <w:style w:type="character" w:customStyle="1" w:styleId="TableFootnoteChar">
    <w:name w:val="TableFootnote Char"/>
    <w:basedOn w:val="DefaultParagraphFont"/>
    <w:link w:val="TableFootnote"/>
    <w:rsid w:val="005F196D"/>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5F196D"/>
    <w:rPr>
      <w:sz w:val="20"/>
    </w:rPr>
  </w:style>
  <w:style w:type="paragraph" w:customStyle="1" w:styleId="TransAbstract">
    <w:name w:val="TransAbstract"/>
    <w:basedOn w:val="Abstract"/>
    <w:qFormat/>
    <w:rsid w:val="005F196D"/>
    <w:pPr>
      <w:spacing w:after="210"/>
    </w:pPr>
  </w:style>
  <w:style w:type="character" w:customStyle="1" w:styleId="TransTitle">
    <w:name w:val="TransTitle"/>
    <w:basedOn w:val="DefaultParagraphFont"/>
    <w:uiPriority w:val="1"/>
    <w:qFormat/>
    <w:rsid w:val="005F196D"/>
    <w:rPr>
      <w:color w:val="E36C0A" w:themeColor="accent6" w:themeShade="BF"/>
    </w:rPr>
  </w:style>
  <w:style w:type="character" w:customStyle="1" w:styleId="Year">
    <w:name w:val="Year"/>
    <w:basedOn w:val="DefaultParagraphFont"/>
    <w:uiPriority w:val="1"/>
    <w:qFormat/>
    <w:rsid w:val="005F196D"/>
    <w:rPr>
      <w:color w:val="auto"/>
      <w:bdr w:val="none" w:sz="0" w:space="0" w:color="auto"/>
      <w:shd w:val="clear" w:color="auto" w:fill="66FF66"/>
    </w:rPr>
  </w:style>
  <w:style w:type="paragraph" w:customStyle="1" w:styleId="DisplayFormulaUnnum">
    <w:name w:val="DisplayFormulaUnnum"/>
    <w:basedOn w:val="Normal"/>
    <w:link w:val="DisplayFormulaUnnumChar"/>
    <w:rsid w:val="005F196D"/>
  </w:style>
  <w:style w:type="character" w:customStyle="1" w:styleId="DateChar">
    <w:name w:val="Date Char"/>
    <w:basedOn w:val="DefaultParagraphFont"/>
    <w:uiPriority w:val="99"/>
    <w:semiHidden/>
    <w:rsid w:val="005F196D"/>
  </w:style>
  <w:style w:type="character" w:customStyle="1" w:styleId="SubtitleChar">
    <w:name w:val="Subtitle Char"/>
    <w:basedOn w:val="DefaultParagraphFont"/>
    <w:uiPriority w:val="11"/>
    <w:rsid w:val="005F196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F196D"/>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5F196D"/>
  </w:style>
  <w:style w:type="character" w:customStyle="1" w:styleId="FigureUnnumChar">
    <w:name w:val="FigureUnnum Char"/>
    <w:basedOn w:val="DefaultParagraphFont"/>
    <w:link w:val="FigureUnnum"/>
    <w:rsid w:val="005F196D"/>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5F196D"/>
  </w:style>
  <w:style w:type="character" w:customStyle="1" w:styleId="PresentAddressChar">
    <w:name w:val="PresentAddress Char"/>
    <w:basedOn w:val="DefaultParagraphFont"/>
    <w:link w:val="PresentAddress"/>
    <w:rsid w:val="005F196D"/>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5F196D"/>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5F196D"/>
    <w:rPr>
      <w:rFonts w:ascii="Times New Roman" w:eastAsiaTheme="minorHAnsi" w:hAnsi="Times New Roman" w:cstheme="minorBidi"/>
      <w:szCs w:val="22"/>
      <w:lang w:val="en-US" w:eastAsia="en-US"/>
    </w:rPr>
  </w:style>
  <w:style w:type="paragraph" w:customStyle="1" w:styleId="AuthorBio">
    <w:name w:val="AuthorBio"/>
    <w:link w:val="AuthorBioChar"/>
    <w:rsid w:val="005F196D"/>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5F196D"/>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5F196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F196D"/>
    <w:rPr>
      <w:color w:val="auto"/>
      <w:bdr w:val="none" w:sz="0" w:space="0" w:color="auto"/>
      <w:shd w:val="clear" w:color="auto" w:fill="A5BED6"/>
    </w:rPr>
  </w:style>
  <w:style w:type="character" w:customStyle="1" w:styleId="Report">
    <w:name w:val="Report"/>
    <w:basedOn w:val="DefaultParagraphFont"/>
    <w:uiPriority w:val="1"/>
    <w:qFormat/>
    <w:rsid w:val="005F196D"/>
    <w:rPr>
      <w:bdr w:val="none" w:sz="0" w:space="0" w:color="auto"/>
      <w:shd w:val="clear" w:color="auto" w:fill="D7E553"/>
    </w:rPr>
  </w:style>
  <w:style w:type="character" w:customStyle="1" w:styleId="Thesis">
    <w:name w:val="Thesis"/>
    <w:basedOn w:val="DefaultParagraphFont"/>
    <w:uiPriority w:val="1"/>
    <w:qFormat/>
    <w:rsid w:val="005F196D"/>
    <w:rPr>
      <w:color w:val="auto"/>
      <w:bdr w:val="none" w:sz="0" w:space="0" w:color="auto"/>
      <w:shd w:val="clear" w:color="auto" w:fill="E5D007"/>
    </w:rPr>
  </w:style>
  <w:style w:type="character" w:customStyle="1" w:styleId="Issn">
    <w:name w:val="Issn"/>
    <w:basedOn w:val="DefaultParagraphFont"/>
    <w:uiPriority w:val="1"/>
    <w:qFormat/>
    <w:rsid w:val="005F196D"/>
    <w:rPr>
      <w:bdr w:val="none" w:sz="0" w:space="0" w:color="auto"/>
      <w:shd w:val="clear" w:color="auto" w:fill="A17189"/>
    </w:rPr>
  </w:style>
  <w:style w:type="character" w:customStyle="1" w:styleId="Isbn">
    <w:name w:val="Isbn"/>
    <w:basedOn w:val="DefaultParagraphFont"/>
    <w:uiPriority w:val="1"/>
    <w:qFormat/>
    <w:rsid w:val="005F196D"/>
    <w:rPr>
      <w:bdr w:val="none" w:sz="0" w:space="0" w:color="auto"/>
      <w:shd w:val="clear" w:color="auto" w:fill="C8EBFC"/>
    </w:rPr>
  </w:style>
  <w:style w:type="character" w:customStyle="1" w:styleId="Coden">
    <w:name w:val="Coden"/>
    <w:basedOn w:val="DefaultParagraphFont"/>
    <w:uiPriority w:val="1"/>
    <w:qFormat/>
    <w:rsid w:val="005F196D"/>
    <w:rPr>
      <w:color w:val="auto"/>
      <w:bdr w:val="none" w:sz="0" w:space="0" w:color="auto"/>
      <w:shd w:val="clear" w:color="auto" w:fill="F9A88F"/>
    </w:rPr>
  </w:style>
  <w:style w:type="character" w:customStyle="1" w:styleId="Patent">
    <w:name w:val="Patent"/>
    <w:basedOn w:val="DefaultParagraphFont"/>
    <w:uiPriority w:val="1"/>
    <w:qFormat/>
    <w:rsid w:val="005F196D"/>
    <w:rPr>
      <w:color w:val="auto"/>
      <w:bdr w:val="none" w:sz="0" w:space="0" w:color="auto"/>
      <w:shd w:val="clear" w:color="auto" w:fill="B26510"/>
    </w:rPr>
  </w:style>
  <w:style w:type="character" w:customStyle="1" w:styleId="MiddleName">
    <w:name w:val="MiddleName"/>
    <w:basedOn w:val="DefaultParagraphFont"/>
    <w:uiPriority w:val="1"/>
    <w:qFormat/>
    <w:rsid w:val="005F196D"/>
    <w:rPr>
      <w:color w:val="auto"/>
      <w:bdr w:val="none" w:sz="0" w:space="0" w:color="auto"/>
      <w:shd w:val="clear" w:color="auto" w:fill="9C9C9C"/>
    </w:rPr>
  </w:style>
  <w:style w:type="character" w:customStyle="1" w:styleId="Query">
    <w:name w:val="Query"/>
    <w:basedOn w:val="DefaultParagraphFont"/>
    <w:uiPriority w:val="1"/>
    <w:rsid w:val="005F196D"/>
    <w:rPr>
      <w:bdr w:val="none" w:sz="0" w:space="0" w:color="auto"/>
      <w:shd w:val="clear" w:color="auto" w:fill="FFFF0F"/>
    </w:rPr>
  </w:style>
  <w:style w:type="character" w:customStyle="1" w:styleId="EdMiddleName">
    <w:name w:val="EdMiddleName"/>
    <w:basedOn w:val="DefaultParagraphFont"/>
    <w:uiPriority w:val="1"/>
    <w:rsid w:val="005F196D"/>
    <w:rPr>
      <w:bdr w:val="none" w:sz="0" w:space="0" w:color="auto"/>
      <w:shd w:val="clear" w:color="auto" w:fill="FF67B3"/>
    </w:rPr>
  </w:style>
  <w:style w:type="paragraph" w:customStyle="1" w:styleId="UnnumFigure">
    <w:name w:val="UnnumFigure"/>
    <w:basedOn w:val="Normal"/>
    <w:qFormat/>
    <w:rsid w:val="005F196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F196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F196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F196D"/>
  </w:style>
  <w:style w:type="paragraph" w:customStyle="1" w:styleId="Bibentry">
    <w:name w:val="Bib_entry"/>
    <w:autoRedefine/>
    <w:qFormat/>
    <w:rsid w:val="005F196D"/>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5F196D"/>
  </w:style>
  <w:style w:type="paragraph" w:customStyle="1" w:styleId="ListEnd">
    <w:name w:val="ListEnd"/>
    <w:basedOn w:val="Normal"/>
    <w:qFormat/>
    <w:rsid w:val="005F196D"/>
  </w:style>
  <w:style w:type="paragraph" w:customStyle="1" w:styleId="AbbreviationHead">
    <w:name w:val="AbbreviationHead"/>
    <w:basedOn w:val="NomenclatureHead"/>
    <w:qFormat/>
    <w:rsid w:val="005F196D"/>
  </w:style>
  <w:style w:type="paragraph" w:customStyle="1" w:styleId="GraphAbstract">
    <w:name w:val="GraphAbstract"/>
    <w:basedOn w:val="Normal"/>
    <w:qFormat/>
    <w:rsid w:val="005F196D"/>
  </w:style>
  <w:style w:type="paragraph" w:styleId="Caption">
    <w:name w:val="caption"/>
    <w:basedOn w:val="Normal"/>
    <w:next w:val="Normal"/>
    <w:autoRedefine/>
    <w:uiPriority w:val="35"/>
    <w:unhideWhenUsed/>
    <w:qFormat/>
    <w:rsid w:val="005F196D"/>
    <w:pPr>
      <w:spacing w:line="240" w:lineRule="auto"/>
    </w:pPr>
    <w:rPr>
      <w:b/>
      <w:bCs/>
      <w:color w:val="4F81BD" w:themeColor="accent1"/>
      <w:sz w:val="18"/>
      <w:szCs w:val="18"/>
    </w:rPr>
  </w:style>
  <w:style w:type="paragraph" w:customStyle="1" w:styleId="Epigraph">
    <w:name w:val="Epigraph"/>
    <w:basedOn w:val="Normal"/>
    <w:autoRedefine/>
    <w:qFormat/>
    <w:rsid w:val="005F196D"/>
    <w:pPr>
      <w:ind w:left="720"/>
    </w:pPr>
    <w:rPr>
      <w:iCs/>
      <w:color w:val="5F497A" w:themeColor="accent4" w:themeShade="BF"/>
    </w:rPr>
  </w:style>
  <w:style w:type="paragraph" w:customStyle="1" w:styleId="Dedication">
    <w:name w:val="Dedication"/>
    <w:basedOn w:val="Para"/>
    <w:autoRedefine/>
    <w:qFormat/>
    <w:rsid w:val="005F196D"/>
    <w:rPr>
      <w:color w:val="943634" w:themeColor="accent2" w:themeShade="BF"/>
    </w:rPr>
  </w:style>
  <w:style w:type="paragraph" w:customStyle="1" w:styleId="ConflictofInterest">
    <w:name w:val="ConflictofInterest"/>
    <w:basedOn w:val="Para"/>
    <w:autoRedefine/>
    <w:qFormat/>
    <w:rsid w:val="005F196D"/>
    <w:rPr>
      <w:sz w:val="22"/>
    </w:rPr>
  </w:style>
  <w:style w:type="paragraph" w:customStyle="1" w:styleId="FloatQuote">
    <w:name w:val="FloatQuote"/>
    <w:basedOn w:val="Para"/>
    <w:qFormat/>
    <w:rsid w:val="005F196D"/>
    <w:pPr>
      <w:shd w:val="clear" w:color="auto" w:fill="FDE9D9" w:themeFill="accent6" w:themeFillTint="33"/>
      <w:ind w:left="1134" w:right="1134" w:firstLine="0"/>
      <w:jc w:val="both"/>
    </w:pPr>
    <w:rPr>
      <w:sz w:val="18"/>
    </w:rPr>
  </w:style>
  <w:style w:type="paragraph" w:customStyle="1" w:styleId="PullQuote">
    <w:name w:val="PullQuote"/>
    <w:basedOn w:val="Para"/>
    <w:qFormat/>
    <w:rsid w:val="005F196D"/>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5F196D"/>
    <w:rPr>
      <w:sz w:val="22"/>
    </w:rPr>
  </w:style>
  <w:style w:type="character" w:customStyle="1" w:styleId="GrantNumber">
    <w:name w:val="GrantNumber"/>
    <w:basedOn w:val="FundingNumber"/>
    <w:uiPriority w:val="1"/>
    <w:qFormat/>
    <w:rsid w:val="005F196D"/>
    <w:rPr>
      <w:color w:val="9900FF"/>
    </w:rPr>
  </w:style>
  <w:style w:type="character" w:customStyle="1" w:styleId="GrantSponser">
    <w:name w:val="GrantSponser"/>
    <w:basedOn w:val="FundingAgency"/>
    <w:uiPriority w:val="1"/>
    <w:qFormat/>
    <w:rsid w:val="005F196D"/>
    <w:rPr>
      <w:color w:val="666699"/>
    </w:rPr>
  </w:style>
  <w:style w:type="paragraph" w:customStyle="1" w:styleId="SuppHead">
    <w:name w:val="SuppHead"/>
    <w:basedOn w:val="Head1"/>
    <w:qFormat/>
    <w:rsid w:val="005F196D"/>
  </w:style>
  <w:style w:type="paragraph" w:customStyle="1" w:styleId="SuppInfo">
    <w:name w:val="SuppInfo"/>
    <w:basedOn w:val="Para"/>
    <w:qFormat/>
    <w:rsid w:val="005F196D"/>
  </w:style>
  <w:style w:type="paragraph" w:customStyle="1" w:styleId="SuppMedia">
    <w:name w:val="SuppMedia"/>
    <w:basedOn w:val="Para"/>
    <w:qFormat/>
    <w:rsid w:val="005F196D"/>
  </w:style>
  <w:style w:type="paragraph" w:customStyle="1" w:styleId="AdditionalInfoHead">
    <w:name w:val="AdditionalInfoHead"/>
    <w:basedOn w:val="Head1"/>
    <w:qFormat/>
    <w:rsid w:val="005F196D"/>
  </w:style>
  <w:style w:type="paragraph" w:customStyle="1" w:styleId="AdditionalInfo">
    <w:name w:val="AdditionalInfo"/>
    <w:basedOn w:val="Para"/>
    <w:qFormat/>
    <w:rsid w:val="005F196D"/>
  </w:style>
  <w:style w:type="paragraph" w:customStyle="1" w:styleId="FeatureTitle">
    <w:name w:val="FeatureTitle"/>
    <w:basedOn w:val="BoxTitle"/>
    <w:qFormat/>
    <w:rsid w:val="005F196D"/>
  </w:style>
  <w:style w:type="paragraph" w:customStyle="1" w:styleId="AltTitle">
    <w:name w:val="AltTitle"/>
    <w:basedOn w:val="Titledocument"/>
    <w:qFormat/>
    <w:rsid w:val="005F196D"/>
  </w:style>
  <w:style w:type="paragraph" w:customStyle="1" w:styleId="AltSubTitle">
    <w:name w:val="AltSubTitle"/>
    <w:basedOn w:val="Subtitle"/>
    <w:qFormat/>
    <w:rsid w:val="005F196D"/>
  </w:style>
  <w:style w:type="paragraph" w:customStyle="1" w:styleId="SelfCitation">
    <w:name w:val="SelfCitation"/>
    <w:basedOn w:val="Para"/>
    <w:qFormat/>
    <w:rsid w:val="005F196D"/>
  </w:style>
  <w:style w:type="character" w:customStyle="1" w:styleId="SubtitleChar1">
    <w:name w:val="Subtitle Char1"/>
    <w:basedOn w:val="DefaultParagraphFont"/>
    <w:link w:val="Subtitle"/>
    <w:uiPriority w:val="11"/>
    <w:rsid w:val="005F196D"/>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5F196D"/>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5F196D"/>
    <w:rPr>
      <w:b/>
      <w:color w:val="C0504D" w:themeColor="accent2"/>
    </w:rPr>
  </w:style>
  <w:style w:type="paragraph" w:customStyle="1" w:styleId="FigSource">
    <w:name w:val="FigSource"/>
    <w:basedOn w:val="Normal"/>
    <w:qFormat/>
    <w:rsid w:val="005F196D"/>
  </w:style>
  <w:style w:type="paragraph" w:customStyle="1" w:styleId="Copyright">
    <w:name w:val="Copyright"/>
    <w:basedOn w:val="Normal"/>
    <w:qFormat/>
    <w:rsid w:val="005F196D"/>
  </w:style>
  <w:style w:type="paragraph" w:customStyle="1" w:styleId="InlineSupp">
    <w:name w:val="InlineSupp"/>
    <w:basedOn w:val="Normal"/>
    <w:qFormat/>
    <w:rsid w:val="005F196D"/>
  </w:style>
  <w:style w:type="paragraph" w:customStyle="1" w:styleId="SidebarQuote">
    <w:name w:val="SidebarQuote"/>
    <w:basedOn w:val="Normal"/>
    <w:qFormat/>
    <w:rsid w:val="005F196D"/>
  </w:style>
  <w:style w:type="character" w:customStyle="1" w:styleId="AltName">
    <w:name w:val="AltName"/>
    <w:basedOn w:val="DefaultParagraphFont"/>
    <w:uiPriority w:val="1"/>
    <w:qFormat/>
    <w:rsid w:val="005F196D"/>
    <w:rPr>
      <w:color w:val="403152" w:themeColor="accent4" w:themeShade="80"/>
    </w:rPr>
  </w:style>
  <w:style w:type="paragraph" w:customStyle="1" w:styleId="StereoChemComp">
    <w:name w:val="StereoChemComp"/>
    <w:basedOn w:val="Normal"/>
    <w:qFormat/>
    <w:rsid w:val="005F196D"/>
  </w:style>
  <w:style w:type="paragraph" w:customStyle="1" w:styleId="StereoChemForm">
    <w:name w:val="StereoChemForm"/>
    <w:basedOn w:val="Normal"/>
    <w:qFormat/>
    <w:rsid w:val="005F196D"/>
  </w:style>
  <w:style w:type="paragraph" w:customStyle="1" w:styleId="StereoChemInfo">
    <w:name w:val="StereoChemInfo"/>
    <w:basedOn w:val="Normal"/>
    <w:qFormat/>
    <w:rsid w:val="005F196D"/>
  </w:style>
  <w:style w:type="paragraph" w:customStyle="1" w:styleId="Address">
    <w:name w:val="Address"/>
    <w:rsid w:val="005F196D"/>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5F196D"/>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5F196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5F196D"/>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5F196D"/>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5F196D"/>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5F196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F196D"/>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F196D"/>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F196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5F196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F196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F196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F196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F196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F196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F196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F196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F196D"/>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5F196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F196D"/>
    <w:rPr>
      <w:b/>
    </w:rPr>
  </w:style>
  <w:style w:type="paragraph" w:customStyle="1" w:styleId="Prelims">
    <w:name w:val="Prelims"/>
    <w:basedOn w:val="Normal"/>
    <w:rsid w:val="005F196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F196D"/>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F196D"/>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F196D"/>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5F196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5F196D"/>
    <w:rPr>
      <w:color w:val="7030A0"/>
    </w:rPr>
  </w:style>
  <w:style w:type="paragraph" w:customStyle="1" w:styleId="Update">
    <w:name w:val="Update"/>
    <w:basedOn w:val="Normal"/>
    <w:qFormat/>
    <w:rsid w:val="005F196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5F196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5F196D"/>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5F196D"/>
  </w:style>
  <w:style w:type="character" w:customStyle="1" w:styleId="FundingAgency">
    <w:name w:val="FundingAgency"/>
    <w:basedOn w:val="DefaultParagraphFont"/>
    <w:uiPriority w:val="1"/>
    <w:qFormat/>
    <w:rsid w:val="005F196D"/>
    <w:rPr>
      <w:color w:val="FF0000"/>
    </w:rPr>
  </w:style>
  <w:style w:type="character" w:customStyle="1" w:styleId="FundingNumber">
    <w:name w:val="FundingNumber"/>
    <w:basedOn w:val="DefaultParagraphFont"/>
    <w:uiPriority w:val="1"/>
    <w:qFormat/>
    <w:rsid w:val="005F196D"/>
    <w:rPr>
      <w:color w:val="9900FF"/>
    </w:rPr>
  </w:style>
  <w:style w:type="character" w:customStyle="1" w:styleId="Orcid">
    <w:name w:val="Orcid"/>
    <w:basedOn w:val="DefaultParagraphFont"/>
    <w:uiPriority w:val="1"/>
    <w:qFormat/>
    <w:rsid w:val="005F196D"/>
    <w:rPr>
      <w:color w:val="7030A0"/>
    </w:rPr>
  </w:style>
  <w:style w:type="paragraph" w:customStyle="1" w:styleId="TOC1">
    <w:name w:val="TOC1"/>
    <w:basedOn w:val="Normal"/>
    <w:qFormat/>
    <w:rsid w:val="005F196D"/>
  </w:style>
  <w:style w:type="paragraph" w:customStyle="1" w:styleId="TOC2">
    <w:name w:val="TOC2"/>
    <w:basedOn w:val="Normal"/>
    <w:qFormat/>
    <w:rsid w:val="005F196D"/>
  </w:style>
  <w:style w:type="paragraph" w:customStyle="1" w:styleId="TOC3">
    <w:name w:val="TOC3"/>
    <w:basedOn w:val="Normal"/>
    <w:qFormat/>
    <w:rsid w:val="005F196D"/>
  </w:style>
  <w:style w:type="paragraph" w:customStyle="1" w:styleId="TOC4">
    <w:name w:val="TOC4"/>
    <w:basedOn w:val="Normal"/>
    <w:qFormat/>
    <w:rsid w:val="005F196D"/>
  </w:style>
  <w:style w:type="paragraph" w:customStyle="1" w:styleId="TOCHeading">
    <w:name w:val="TOCHeading"/>
    <w:basedOn w:val="Normal"/>
    <w:qFormat/>
    <w:rsid w:val="005F196D"/>
  </w:style>
  <w:style w:type="paragraph" w:customStyle="1" w:styleId="Index1">
    <w:name w:val="Index1"/>
    <w:basedOn w:val="Normal"/>
    <w:qFormat/>
    <w:rsid w:val="005F196D"/>
  </w:style>
  <w:style w:type="paragraph" w:customStyle="1" w:styleId="Index2">
    <w:name w:val="Index2"/>
    <w:basedOn w:val="Normal"/>
    <w:qFormat/>
    <w:rsid w:val="005F196D"/>
    <w:pPr>
      <w:ind w:left="284"/>
    </w:pPr>
  </w:style>
  <w:style w:type="paragraph" w:customStyle="1" w:styleId="Index3">
    <w:name w:val="Index3"/>
    <w:basedOn w:val="Normal"/>
    <w:qFormat/>
    <w:rsid w:val="005F196D"/>
    <w:pPr>
      <w:ind w:left="567"/>
    </w:pPr>
  </w:style>
  <w:style w:type="paragraph" w:customStyle="1" w:styleId="Index4">
    <w:name w:val="Index4"/>
    <w:basedOn w:val="Normal"/>
    <w:qFormat/>
    <w:rsid w:val="005F196D"/>
    <w:pPr>
      <w:ind w:left="851"/>
    </w:pPr>
  </w:style>
  <w:style w:type="paragraph" w:customStyle="1" w:styleId="IndexHead">
    <w:name w:val="IndexHead"/>
    <w:basedOn w:val="Normal"/>
    <w:qFormat/>
    <w:rsid w:val="005F196D"/>
  </w:style>
  <w:style w:type="paragraph" w:customStyle="1" w:styleId="BoxHead1">
    <w:name w:val="BoxHead1"/>
    <w:basedOn w:val="AppendixH1"/>
    <w:qFormat/>
    <w:rsid w:val="005F196D"/>
  </w:style>
  <w:style w:type="paragraph" w:customStyle="1" w:styleId="BoxHead2">
    <w:name w:val="BoxHead2"/>
    <w:basedOn w:val="AppendixH2"/>
    <w:qFormat/>
    <w:rsid w:val="005F196D"/>
  </w:style>
  <w:style w:type="paragraph" w:customStyle="1" w:styleId="BoxHead3">
    <w:name w:val="BoxHead3"/>
    <w:basedOn w:val="AppendixH3"/>
    <w:qFormat/>
    <w:rsid w:val="005F196D"/>
  </w:style>
  <w:style w:type="paragraph" w:customStyle="1" w:styleId="ChapterNumber">
    <w:name w:val="ChapterNumber"/>
    <w:basedOn w:val="Normal"/>
    <w:next w:val="Normal"/>
    <w:rsid w:val="005F196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F196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F196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F196D"/>
    <w:rPr>
      <w:i w:val="0"/>
      <w:sz w:val="40"/>
    </w:rPr>
  </w:style>
  <w:style w:type="paragraph" w:customStyle="1" w:styleId="ChapterSubTitle">
    <w:name w:val="ChapterSubTitle"/>
    <w:basedOn w:val="ChapterTitle"/>
    <w:next w:val="Normal"/>
    <w:rsid w:val="005F196D"/>
    <w:pPr>
      <w:spacing w:before="0"/>
    </w:pPr>
    <w:rPr>
      <w:b w:val="0"/>
      <w:i/>
      <w:sz w:val="36"/>
    </w:rPr>
  </w:style>
  <w:style w:type="paragraph" w:customStyle="1" w:styleId="ParaFirst">
    <w:name w:val="ParaFirst"/>
    <w:qFormat/>
    <w:rsid w:val="005F196D"/>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5F196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F196D"/>
    <w:pPr>
      <w:pBdr>
        <w:top w:val="none" w:sz="0" w:space="0" w:color="auto"/>
        <w:bottom w:val="thickThinSmallGap" w:sz="24" w:space="1" w:color="auto"/>
      </w:pBdr>
    </w:pPr>
  </w:style>
  <w:style w:type="paragraph" w:customStyle="1" w:styleId="AuthorBioHead">
    <w:name w:val="AuthorBioHead"/>
    <w:qFormat/>
    <w:rsid w:val="005F196D"/>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5F196D"/>
    <w:rPr>
      <w:color w:val="5F497A" w:themeColor="accent4" w:themeShade="BF"/>
    </w:rPr>
  </w:style>
  <w:style w:type="character" w:customStyle="1" w:styleId="RevisedDate2">
    <w:name w:val="RevisedDate2"/>
    <w:basedOn w:val="DefaultParagraphFont"/>
    <w:uiPriority w:val="1"/>
    <w:qFormat/>
    <w:rsid w:val="005F196D"/>
    <w:rPr>
      <w:color w:val="E36C0A" w:themeColor="accent6" w:themeShade="BF"/>
    </w:rPr>
  </w:style>
  <w:style w:type="paragraph" w:customStyle="1" w:styleId="ClientTag">
    <w:name w:val="ClientTag"/>
    <w:basedOn w:val="Normal"/>
    <w:qFormat/>
    <w:rsid w:val="005F196D"/>
  </w:style>
  <w:style w:type="paragraph" w:customStyle="1" w:styleId="RefHead1">
    <w:name w:val="RefHead1"/>
    <w:basedOn w:val="ReferenceHead"/>
    <w:qFormat/>
    <w:rsid w:val="005F196D"/>
    <w:pPr>
      <w:ind w:left="284"/>
    </w:pPr>
  </w:style>
  <w:style w:type="paragraph" w:customStyle="1" w:styleId="RefHead2">
    <w:name w:val="RefHead2"/>
    <w:basedOn w:val="ReferenceHead"/>
    <w:qFormat/>
    <w:rsid w:val="005F196D"/>
    <w:pPr>
      <w:ind w:left="567"/>
    </w:pPr>
  </w:style>
  <w:style w:type="paragraph" w:customStyle="1" w:styleId="RefHead3">
    <w:name w:val="RefHead3"/>
    <w:basedOn w:val="ReferenceHead"/>
    <w:qFormat/>
    <w:rsid w:val="005F196D"/>
    <w:pPr>
      <w:spacing w:before="30"/>
      <w:ind w:left="851"/>
    </w:pPr>
  </w:style>
  <w:style w:type="paragraph" w:customStyle="1" w:styleId="FundingHead">
    <w:name w:val="FundingHead"/>
    <w:basedOn w:val="AckHead"/>
    <w:qFormat/>
    <w:rsid w:val="005F196D"/>
  </w:style>
  <w:style w:type="paragraph" w:customStyle="1" w:styleId="FundingPara">
    <w:name w:val="FundingPara"/>
    <w:basedOn w:val="FundingHead"/>
    <w:next w:val="AckPara"/>
    <w:qFormat/>
    <w:rsid w:val="005F196D"/>
  </w:style>
  <w:style w:type="paragraph" w:customStyle="1" w:styleId="DisclosureHead">
    <w:name w:val="DisclosureHead"/>
    <w:basedOn w:val="Head1"/>
    <w:qFormat/>
    <w:rsid w:val="005F196D"/>
  </w:style>
  <w:style w:type="paragraph" w:customStyle="1" w:styleId="Disclosure">
    <w:name w:val="Disclosure"/>
    <w:basedOn w:val="Para"/>
    <w:qFormat/>
    <w:rsid w:val="005F196D"/>
  </w:style>
  <w:style w:type="paragraph" w:customStyle="1" w:styleId="Quotation">
    <w:name w:val="Quotation"/>
    <w:basedOn w:val="Normal"/>
    <w:qFormat/>
    <w:rsid w:val="005F196D"/>
    <w:pPr>
      <w:jc w:val="center"/>
    </w:pPr>
    <w:rPr>
      <w:sz w:val="16"/>
    </w:rPr>
  </w:style>
  <w:style w:type="character" w:customStyle="1" w:styleId="Correct">
    <w:name w:val="Correct"/>
    <w:basedOn w:val="DefaultParagraphFont"/>
    <w:uiPriority w:val="1"/>
    <w:qFormat/>
    <w:rsid w:val="005F196D"/>
    <w:rPr>
      <w:b/>
      <w:color w:val="0070C0"/>
    </w:rPr>
  </w:style>
  <w:style w:type="paragraph" w:customStyle="1" w:styleId="Explanation">
    <w:name w:val="Explanation"/>
    <w:basedOn w:val="Normal"/>
    <w:rsid w:val="005F196D"/>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5F196D"/>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5F196D"/>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5F196D"/>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5F196D"/>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5F196D"/>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5F196D"/>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5F196D"/>
    <w:rPr>
      <w:color w:val="4F81BD" w:themeColor="accent1"/>
      <w:sz w:val="20"/>
    </w:rPr>
  </w:style>
  <w:style w:type="character" w:customStyle="1" w:styleId="Subject1">
    <w:name w:val="Subject1"/>
    <w:basedOn w:val="DefaultParagraphFont"/>
    <w:uiPriority w:val="1"/>
    <w:rsid w:val="005F196D"/>
    <w:rPr>
      <w:rFonts w:ascii="Times New Roman" w:hAnsi="Times New Roman"/>
      <w:color w:val="002060"/>
      <w:sz w:val="20"/>
    </w:rPr>
  </w:style>
  <w:style w:type="character" w:customStyle="1" w:styleId="Subject2">
    <w:name w:val="Subject2"/>
    <w:basedOn w:val="Subject1"/>
    <w:uiPriority w:val="1"/>
    <w:rsid w:val="005F196D"/>
    <w:rPr>
      <w:rFonts w:ascii="Times New Roman" w:hAnsi="Times New Roman"/>
      <w:color w:val="002060"/>
      <w:sz w:val="20"/>
    </w:rPr>
  </w:style>
  <w:style w:type="paragraph" w:customStyle="1" w:styleId="FigKeyword">
    <w:name w:val="FigKeyword"/>
    <w:basedOn w:val="Normal"/>
    <w:qFormat/>
    <w:rsid w:val="005F196D"/>
  </w:style>
  <w:style w:type="paragraph" w:customStyle="1" w:styleId="FigCopyright">
    <w:name w:val="FigCopyright"/>
    <w:basedOn w:val="Normal"/>
    <w:qFormat/>
    <w:rsid w:val="005F196D"/>
  </w:style>
  <w:style w:type="character" w:customStyle="1" w:styleId="EpreprintDate">
    <w:name w:val="EpreprintDate"/>
    <w:basedOn w:val="DefaultParagraphFont"/>
    <w:uiPriority w:val="1"/>
    <w:qFormat/>
    <w:rsid w:val="005F196D"/>
    <w:rPr>
      <w:bdr w:val="none" w:sz="0" w:space="0" w:color="auto"/>
      <w:shd w:val="clear" w:color="auto" w:fill="B8CCE4" w:themeFill="accent1" w:themeFillTint="66"/>
    </w:rPr>
  </w:style>
  <w:style w:type="paragraph" w:customStyle="1" w:styleId="ChemFormula">
    <w:name w:val="ChemFormula"/>
    <w:basedOn w:val="Normal"/>
    <w:qFormat/>
    <w:rsid w:val="005F196D"/>
  </w:style>
  <w:style w:type="paragraph" w:customStyle="1" w:styleId="ChemFormulaUnnum">
    <w:name w:val="ChemFormulaUnnum"/>
    <w:basedOn w:val="Normal"/>
    <w:qFormat/>
    <w:rsid w:val="005F196D"/>
  </w:style>
  <w:style w:type="paragraph" w:customStyle="1" w:styleId="Value">
    <w:name w:val="Value"/>
    <w:basedOn w:val="Normal"/>
    <w:next w:val="Normal"/>
    <w:qFormat/>
    <w:rsid w:val="005F196D"/>
  </w:style>
  <w:style w:type="paragraph" w:customStyle="1" w:styleId="Yours">
    <w:name w:val="Yours"/>
    <w:basedOn w:val="Normal"/>
    <w:next w:val="Normal"/>
    <w:qFormat/>
    <w:rsid w:val="005F196D"/>
  </w:style>
  <w:style w:type="paragraph" w:customStyle="1" w:styleId="Letter-ps">
    <w:name w:val="Letter-ps"/>
    <w:basedOn w:val="Normal"/>
    <w:next w:val="Normal"/>
    <w:qFormat/>
    <w:rsid w:val="005F196D"/>
  </w:style>
  <w:style w:type="paragraph" w:styleId="Salutation">
    <w:name w:val="Salutation"/>
    <w:basedOn w:val="Normal"/>
    <w:next w:val="Normal"/>
    <w:link w:val="SalutationChar"/>
    <w:uiPriority w:val="99"/>
    <w:semiHidden/>
    <w:unhideWhenUsed/>
    <w:rsid w:val="005F196D"/>
  </w:style>
  <w:style w:type="character" w:customStyle="1" w:styleId="SalutationChar">
    <w:name w:val="Salutation Char"/>
    <w:basedOn w:val="DefaultParagraphFont"/>
    <w:link w:val="Salutation"/>
    <w:uiPriority w:val="99"/>
    <w:semiHidden/>
    <w:rsid w:val="005F196D"/>
    <w:rPr>
      <w:rFonts w:asciiTheme="minorHAnsi" w:eastAsiaTheme="minorHAnsi" w:hAnsiTheme="minorHAnsi" w:cstheme="minorBidi"/>
      <w:sz w:val="22"/>
      <w:szCs w:val="22"/>
      <w:lang w:val="en-US" w:eastAsia="en-US"/>
    </w:rPr>
  </w:style>
  <w:style w:type="paragraph" w:customStyle="1" w:styleId="AppendixNumber">
    <w:name w:val="AppendixNumber"/>
    <w:qFormat/>
    <w:rsid w:val="005F196D"/>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5F196D"/>
  </w:style>
  <w:style w:type="paragraph" w:customStyle="1" w:styleId="FeatureFixedTitle">
    <w:name w:val="FeatureFixedTitle"/>
    <w:basedOn w:val="Normal"/>
    <w:qFormat/>
    <w:rsid w:val="005F196D"/>
  </w:style>
  <w:style w:type="paragraph" w:customStyle="1" w:styleId="Feature">
    <w:name w:val="Feature"/>
    <w:basedOn w:val="BoxTitle"/>
    <w:qFormat/>
    <w:rsid w:val="005F196D"/>
  </w:style>
  <w:style w:type="paragraph" w:customStyle="1" w:styleId="FeatureHead1">
    <w:name w:val="FeatureHead1"/>
    <w:basedOn w:val="Normal"/>
    <w:qFormat/>
    <w:rsid w:val="005F196D"/>
  </w:style>
  <w:style w:type="paragraph" w:customStyle="1" w:styleId="FeatureHead2">
    <w:name w:val="FeatureHead2"/>
    <w:basedOn w:val="FeatureHead1"/>
    <w:qFormat/>
    <w:rsid w:val="005F196D"/>
  </w:style>
  <w:style w:type="paragraph" w:customStyle="1" w:styleId="ExerciseSection">
    <w:name w:val="ExerciseSection"/>
    <w:basedOn w:val="Normal"/>
    <w:qFormat/>
    <w:rsid w:val="005F196D"/>
  </w:style>
  <w:style w:type="character" w:customStyle="1" w:styleId="FigCount">
    <w:name w:val="FigCount"/>
    <w:basedOn w:val="DefaultParagraphFont"/>
    <w:uiPriority w:val="1"/>
    <w:qFormat/>
    <w:rsid w:val="005F196D"/>
    <w:rPr>
      <w:color w:val="0000FF"/>
    </w:rPr>
  </w:style>
  <w:style w:type="character" w:customStyle="1" w:styleId="TblCount">
    <w:name w:val="TblCount"/>
    <w:basedOn w:val="DefaultParagraphFont"/>
    <w:uiPriority w:val="1"/>
    <w:qFormat/>
    <w:rsid w:val="005F196D"/>
    <w:rPr>
      <w:color w:val="0000FF"/>
    </w:rPr>
  </w:style>
  <w:style w:type="character" w:customStyle="1" w:styleId="RefCount">
    <w:name w:val="RefCount"/>
    <w:basedOn w:val="DefaultParagraphFont"/>
    <w:uiPriority w:val="1"/>
    <w:qFormat/>
    <w:rsid w:val="005F196D"/>
    <w:rPr>
      <w:color w:val="0000FF"/>
    </w:rPr>
  </w:style>
  <w:style w:type="character" w:customStyle="1" w:styleId="EqnCount">
    <w:name w:val="EqnCount"/>
    <w:basedOn w:val="DefaultParagraphFont"/>
    <w:uiPriority w:val="1"/>
    <w:qFormat/>
    <w:rsid w:val="005F196D"/>
    <w:rPr>
      <w:color w:val="0000FF"/>
    </w:rPr>
  </w:style>
  <w:style w:type="paragraph" w:customStyle="1" w:styleId="AuthInfo">
    <w:name w:val="AuthInfo"/>
    <w:qFormat/>
    <w:rsid w:val="005F196D"/>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5F196D"/>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5F196D"/>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5F196D"/>
  </w:style>
  <w:style w:type="paragraph" w:customStyle="1" w:styleId="RelatedArticle">
    <w:name w:val="RelatedArticle"/>
    <w:qFormat/>
    <w:rsid w:val="005F196D"/>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5F196D"/>
    <w:rPr>
      <w:sz w:val="20"/>
    </w:rPr>
  </w:style>
  <w:style w:type="paragraph" w:customStyle="1" w:styleId="BoxKeyword">
    <w:name w:val="BoxKeyword"/>
    <w:autoRedefine/>
    <w:qFormat/>
    <w:rsid w:val="005F196D"/>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5F196D"/>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5F196D"/>
  </w:style>
  <w:style w:type="character" w:customStyle="1" w:styleId="BookSeries">
    <w:name w:val="BookSeries"/>
    <w:uiPriority w:val="1"/>
    <w:rsid w:val="005F196D"/>
  </w:style>
  <w:style w:type="paragraph" w:customStyle="1" w:styleId="SuppKeyword">
    <w:name w:val="SuppKeyword"/>
    <w:basedOn w:val="SuppInfo"/>
    <w:qFormat/>
    <w:rsid w:val="005F196D"/>
  </w:style>
  <w:style w:type="character" w:customStyle="1" w:styleId="eSlide">
    <w:name w:val="eSlide"/>
    <w:basedOn w:val="DefaultParagraphFont"/>
    <w:uiPriority w:val="1"/>
    <w:qFormat/>
    <w:rsid w:val="005F196D"/>
    <w:rPr>
      <w:color w:val="FF0000"/>
    </w:rPr>
  </w:style>
  <w:style w:type="character" w:customStyle="1" w:styleId="KeyTerm">
    <w:name w:val="KeyTerm"/>
    <w:basedOn w:val="DefaultParagraphFont"/>
    <w:uiPriority w:val="1"/>
    <w:qFormat/>
    <w:rsid w:val="005F196D"/>
    <w:rPr>
      <w:color w:val="E36C0A" w:themeColor="accent6" w:themeShade="BF"/>
    </w:rPr>
  </w:style>
  <w:style w:type="character" w:customStyle="1" w:styleId="OtherTitle">
    <w:name w:val="OtherTitle"/>
    <w:basedOn w:val="DefaultParagraphFont"/>
    <w:uiPriority w:val="1"/>
    <w:qFormat/>
    <w:rsid w:val="005F196D"/>
    <w:rPr>
      <w:bdr w:val="none" w:sz="0" w:space="0" w:color="auto"/>
      <w:shd w:val="clear" w:color="auto" w:fill="B6DDE8" w:themeFill="accent5" w:themeFillTint="66"/>
    </w:rPr>
  </w:style>
  <w:style w:type="paragraph" w:customStyle="1" w:styleId="SidebarText">
    <w:name w:val="SidebarText"/>
    <w:basedOn w:val="Normal"/>
    <w:qFormat/>
    <w:rsid w:val="005F196D"/>
    <w:pPr>
      <w:spacing w:after="0" w:line="360" w:lineRule="auto"/>
      <w:ind w:left="475"/>
    </w:pPr>
    <w:rPr>
      <w:rFonts w:eastAsia="Times New Roman" w:cs="Times New Roman"/>
      <w:noProof/>
      <w:sz w:val="24"/>
      <w:szCs w:val="20"/>
    </w:rPr>
  </w:style>
  <w:style w:type="character" w:customStyle="1" w:styleId="term-InText">
    <w:name w:val="term-InText"/>
    <w:uiPriority w:val="1"/>
    <w:rsid w:val="005F196D"/>
  </w:style>
  <w:style w:type="character" w:customStyle="1" w:styleId="GrantAuthor">
    <w:name w:val="GrantAuthor"/>
    <w:basedOn w:val="DefaultParagraphFont"/>
    <w:uiPriority w:val="1"/>
    <w:qFormat/>
    <w:rsid w:val="005F196D"/>
    <w:rPr>
      <w:color w:val="943634" w:themeColor="accent2" w:themeShade="BF"/>
    </w:rPr>
  </w:style>
  <w:style w:type="character" w:customStyle="1" w:styleId="Price">
    <w:name w:val="Price"/>
    <w:uiPriority w:val="1"/>
    <w:rsid w:val="005F196D"/>
  </w:style>
  <w:style w:type="paragraph" w:customStyle="1" w:styleId="BoxFootnote">
    <w:name w:val="BoxFootnote"/>
    <w:basedOn w:val="TableFootnote"/>
    <w:qFormat/>
    <w:rsid w:val="005F196D"/>
  </w:style>
  <w:style w:type="paragraph" w:customStyle="1" w:styleId="ConflictOfInterestHead">
    <w:name w:val="ConflictOfInterestHead"/>
    <w:basedOn w:val="AdditionalInfoHead"/>
    <w:qFormat/>
    <w:rsid w:val="005F196D"/>
  </w:style>
  <w:style w:type="character" w:customStyle="1" w:styleId="eLocator">
    <w:name w:val="eLocator"/>
    <w:basedOn w:val="DefaultParagraphFont"/>
    <w:uiPriority w:val="1"/>
    <w:rsid w:val="005F196D"/>
    <w:rPr>
      <w:color w:val="9BBB59" w:themeColor="accent3"/>
    </w:rPr>
  </w:style>
  <w:style w:type="character" w:customStyle="1" w:styleId="Twitter">
    <w:name w:val="Twitter"/>
    <w:basedOn w:val="DefaultParagraphFont"/>
    <w:uiPriority w:val="1"/>
    <w:qFormat/>
    <w:rsid w:val="005F196D"/>
    <w:rPr>
      <w:color w:val="5F497A" w:themeColor="accent4" w:themeShade="BF"/>
    </w:rPr>
  </w:style>
  <w:style w:type="paragraph" w:customStyle="1" w:styleId="StubTitledocument">
    <w:name w:val="StubTitle_document"/>
    <w:basedOn w:val="Subtitle"/>
    <w:qFormat/>
    <w:rsid w:val="005F196D"/>
  </w:style>
  <w:style w:type="character" w:customStyle="1" w:styleId="ArticleNumber">
    <w:name w:val="ArticleNumber"/>
    <w:basedOn w:val="DefaultParagraphFont"/>
    <w:uiPriority w:val="1"/>
    <w:qFormat/>
    <w:rsid w:val="005F196D"/>
    <w:rPr>
      <w:color w:val="3F3E00"/>
    </w:rPr>
  </w:style>
  <w:style w:type="paragraph" w:customStyle="1" w:styleId="EqnGroupBegin">
    <w:name w:val="EqnGroupBegin"/>
    <w:basedOn w:val="Normal"/>
    <w:qFormat/>
    <w:rsid w:val="005F196D"/>
    <w:pPr>
      <w:pBdr>
        <w:top w:val="single" w:sz="12" w:space="1" w:color="auto"/>
      </w:pBdr>
      <w:shd w:val="clear" w:color="auto" w:fill="C2D69B" w:themeFill="accent3" w:themeFillTint="99"/>
      <w:jc w:val="center"/>
    </w:pPr>
  </w:style>
  <w:style w:type="paragraph" w:customStyle="1" w:styleId="EqnGroupEnd">
    <w:name w:val="EqnGroupEnd"/>
    <w:basedOn w:val="Normal"/>
    <w:qFormat/>
    <w:rsid w:val="005F196D"/>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5F196D"/>
    <w:rPr>
      <w:color w:val="auto"/>
      <w:bdr w:val="none" w:sz="0" w:space="0" w:color="auto"/>
      <w:shd w:val="clear" w:color="auto" w:fill="97FF97"/>
    </w:rPr>
  </w:style>
  <w:style w:type="character" w:customStyle="1" w:styleId="PII">
    <w:name w:val="PII"/>
    <w:basedOn w:val="DefaultParagraphFont"/>
    <w:uiPriority w:val="1"/>
    <w:rsid w:val="005F196D"/>
    <w:rPr>
      <w:bdr w:val="none" w:sz="0" w:space="0" w:color="auto"/>
      <w:shd w:val="clear" w:color="auto" w:fill="F9907F"/>
    </w:rPr>
  </w:style>
  <w:style w:type="paragraph" w:customStyle="1" w:styleId="Image">
    <w:name w:val="Image"/>
    <w:basedOn w:val="Normal"/>
    <w:qFormat/>
    <w:rsid w:val="005F196D"/>
  </w:style>
  <w:style w:type="paragraph" w:customStyle="1" w:styleId="ShortTitle">
    <w:name w:val="ShortTitle"/>
    <w:basedOn w:val="Normal"/>
    <w:qFormat/>
    <w:rsid w:val="005F196D"/>
  </w:style>
  <w:style w:type="paragraph" w:customStyle="1" w:styleId="ReferencedData">
    <w:name w:val="ReferencedData"/>
    <w:basedOn w:val="ShortTitle"/>
    <w:qFormat/>
    <w:rsid w:val="005F196D"/>
  </w:style>
  <w:style w:type="character" w:customStyle="1" w:styleId="Nickname">
    <w:name w:val="Nickname"/>
    <w:basedOn w:val="DefaultParagraphFont"/>
    <w:uiPriority w:val="1"/>
    <w:qFormat/>
    <w:rsid w:val="005F196D"/>
    <w:rPr>
      <w:color w:val="E36C0A" w:themeColor="accent6" w:themeShade="BF"/>
    </w:rPr>
  </w:style>
  <w:style w:type="character" w:styleId="Emphasis">
    <w:name w:val="Emphasis"/>
    <w:basedOn w:val="DefaultParagraphFont"/>
    <w:uiPriority w:val="20"/>
    <w:qFormat/>
    <w:rsid w:val="005F196D"/>
    <w:rPr>
      <w:i/>
      <w:iCs/>
    </w:rPr>
  </w:style>
  <w:style w:type="character" w:customStyle="1" w:styleId="DrugName">
    <w:name w:val="Drug Name"/>
    <w:qFormat/>
    <w:rsid w:val="005F196D"/>
    <w:rPr>
      <w:rFonts w:ascii="Arial" w:hAnsi="Arial"/>
      <w:b/>
      <w:color w:val="E36C0A"/>
      <w:u w:val="single"/>
    </w:rPr>
  </w:style>
  <w:style w:type="paragraph" w:customStyle="1" w:styleId="Supplementary">
    <w:name w:val="Supplementary"/>
    <w:basedOn w:val="Normal"/>
    <w:qFormat/>
    <w:rsid w:val="005F196D"/>
  </w:style>
  <w:style w:type="character" w:customStyle="1" w:styleId="accessionId">
    <w:name w:val="accessionId"/>
    <w:basedOn w:val="DefaultParagraphFont"/>
    <w:uiPriority w:val="1"/>
    <w:qFormat/>
    <w:rsid w:val="005F196D"/>
    <w:rPr>
      <w:color w:val="FF0000"/>
    </w:rPr>
  </w:style>
  <w:style w:type="character" w:customStyle="1" w:styleId="Pronouns">
    <w:name w:val="Pronouns"/>
    <w:basedOn w:val="DefaultParagraphFont"/>
    <w:uiPriority w:val="1"/>
    <w:qFormat/>
    <w:rsid w:val="005F196D"/>
    <w:rPr>
      <w:color w:val="943634" w:themeColor="accent2" w:themeShade="BF"/>
    </w:rPr>
  </w:style>
  <w:style w:type="character" w:customStyle="1" w:styleId="CreditTaxonomy">
    <w:name w:val="CreditTaxonomy"/>
    <w:basedOn w:val="DefaultParagraphFont"/>
    <w:uiPriority w:val="1"/>
    <w:rsid w:val="005F196D"/>
    <w:rPr>
      <w:color w:val="00B050"/>
    </w:rPr>
  </w:style>
  <w:style w:type="paragraph" w:customStyle="1" w:styleId="TableSource">
    <w:name w:val="TableSource"/>
    <w:basedOn w:val="Normal"/>
    <w:qFormat/>
    <w:rsid w:val="005F196D"/>
  </w:style>
  <w:style w:type="character" w:customStyle="1" w:styleId="collab-text">
    <w:name w:val="collab-text"/>
    <w:basedOn w:val="DefaultParagraphFont"/>
    <w:uiPriority w:val="1"/>
    <w:rsid w:val="005F196D"/>
    <w:rPr>
      <w:color w:val="E36C0A" w:themeColor="accent6" w:themeShade="BF"/>
    </w:rPr>
  </w:style>
  <w:style w:type="table" w:styleId="TableGrid">
    <w:name w:val="Table Grid"/>
    <w:basedOn w:val="TableNormal"/>
    <w:uiPriority w:val="59"/>
    <w:rsid w:val="005F196D"/>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5F196D"/>
  </w:style>
  <w:style w:type="paragraph" w:customStyle="1" w:styleId="Index6">
    <w:name w:val="Index6"/>
    <w:basedOn w:val="Normal"/>
    <w:qFormat/>
    <w:rsid w:val="005F196D"/>
  </w:style>
  <w:style w:type="paragraph" w:customStyle="1" w:styleId="Index7">
    <w:name w:val="Index7"/>
    <w:basedOn w:val="Normal"/>
    <w:qFormat/>
    <w:rsid w:val="005F196D"/>
  </w:style>
  <w:style w:type="paragraph" w:customStyle="1" w:styleId="Index8">
    <w:name w:val="Index8"/>
    <w:basedOn w:val="Normal"/>
    <w:qFormat/>
    <w:rsid w:val="005F196D"/>
  </w:style>
  <w:style w:type="paragraph" w:customStyle="1" w:styleId="Index9">
    <w:name w:val="Index9"/>
    <w:basedOn w:val="Normal"/>
    <w:qFormat/>
    <w:rsid w:val="005F196D"/>
  </w:style>
  <w:style w:type="paragraph" w:customStyle="1" w:styleId="AltText">
    <w:name w:val="AltText"/>
    <w:basedOn w:val="FigureCaption"/>
    <w:link w:val="AltTextChar"/>
    <w:qFormat/>
    <w:rsid w:val="005F196D"/>
  </w:style>
  <w:style w:type="character" w:customStyle="1" w:styleId="AltTextChar">
    <w:name w:val="AltText Char"/>
    <w:basedOn w:val="FigureCaptionChar"/>
    <w:link w:val="AltText"/>
    <w:rsid w:val="005F196D"/>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5F196D"/>
    <w:rPr>
      <w:sz w:val="20"/>
    </w:rPr>
  </w:style>
  <w:style w:type="paragraph" w:customStyle="1" w:styleId="BoxHead5">
    <w:name w:val="BoxHead5"/>
    <w:basedOn w:val="BoxHead4"/>
    <w:next w:val="BoxHead4"/>
    <w:qFormat/>
    <w:rsid w:val="005F196D"/>
    <w:rPr>
      <w:sz w:val="18"/>
    </w:rPr>
  </w:style>
  <w:style w:type="character" w:styleId="UnresolvedMention">
    <w:name w:val="Unresolved Mention"/>
    <w:basedOn w:val="DefaultParagraphFont"/>
    <w:uiPriority w:val="99"/>
    <w:semiHidden/>
    <w:unhideWhenUsed/>
    <w:rsid w:val="008707C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96D7F"/>
    <w:rPr>
      <w:b/>
      <w:bCs/>
      <w:sz w:val="20"/>
      <w:szCs w:val="20"/>
    </w:rPr>
  </w:style>
  <w:style w:type="character" w:customStyle="1" w:styleId="CommentSubjectChar">
    <w:name w:val="Comment Subject Char"/>
    <w:basedOn w:val="CommentTextChar"/>
    <w:link w:val="CommentSubject"/>
    <w:uiPriority w:val="99"/>
    <w:semiHidden/>
    <w:rsid w:val="00696D7F"/>
    <w:rPr>
      <w:rFonts w:asciiTheme="minorHAnsi" w:eastAsiaTheme="minorHAnsi" w:hAnsiTheme="minorHAnsi" w:cstheme="minorBidi"/>
      <w:b/>
      <w:bCs/>
      <w:kern w:val="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DONE" StartTime="12-08-2025 13:04:59" EndTime="12-08-2025 13:04:59">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2-08-2025 13:04:59" EndTime="12-08-2025 13:04:59">
    <TagMapping status="YTS">
    </TagMapping>
    <StyleMapping status="YTS">
    </StyleMapping>
  </BodyStyling>
  <Reference versionrequired="True" status="DONE" StartTime="12-08-2025 13:04:59" EndTime="12-08-2025 13:04:59">
  </Reference>
  <CrossLinking versionrequired="True" status="DONE" StartTime="12-08-2025 13:04:59" EndTime="12-08-2025 13:04:59">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8446</Words>
  <Characters>51102</Characters>
  <Application>Microsoft Office Word</Application>
  <DocSecurity>0</DocSecurity>
  <Lines>1703</Lines>
  <Paragraphs>916</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25</cp:revision>
  <cp:lastPrinted>2025-08-11T22:01:00Z</cp:lastPrinted>
  <dcterms:created xsi:type="dcterms:W3CDTF">2025-08-12T07:10:00Z</dcterms:created>
  <dcterms:modified xsi:type="dcterms:W3CDTF">2025-08-12T07:35:00Z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CrossLinking</vt:lpwstr>
  </property>
</Properties>
</file>