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onsolas" w:hAnsi="Consolas"/>
          <w:b w:val="0"/>
          <w:i w:val="0"/>
          <w:color w:val="56607A"/>
          <w:sz w:val="17"/>
        </w:rPr>
        <w:t>PROBLEM STATEMENT SIH26102</w:t>
      </w:r>
    </w:p>
    <w:p>
      <w:pPr>
        <w:spacing w:after="40" w:before="0"/>
      </w:pPr>
      <w:r>
        <w:rPr>
          <w:rFonts w:ascii="Georgia" w:hAnsi="Georgia"/>
          <w:b/>
          <w:color w:val="0F2544"/>
          <w:sz w:val="56"/>
        </w:rPr>
        <w:t>NirmanDrishti</w:t>
      </w:r>
    </w:p>
    <w:p>
      <w:pPr>
        <w:spacing w:after="60" w:before="0"/>
      </w:pPr>
      <w:r>
        <w:rPr>
          <w:rFonts w:ascii="Nirmala UI" w:hAnsi="Nirmala UI"/>
          <w:b w:val="0"/>
          <w:i w:val="0"/>
          <w:color w:val="56607A"/>
          <w:sz w:val="26"/>
        </w:rPr>
        <w:t>निर्माण दृष्टि</w:t>
      </w:r>
    </w:p>
    <w:p>
      <w:pPr>
        <w:spacing w:after="200" w:before="0"/>
        <w:pBdr>
          <w:bottom w:val="single" w:sz="12" w:space="6" w:color="B3261E"/>
        </w:pBdr>
      </w:pPr>
      <w:r>
        <w:rPr>
          <w:rFonts w:ascii="Georgia" w:hAnsi="Georgia"/>
          <w:color w:val="10151F"/>
          <w:sz w:val="23"/>
        </w:rPr>
        <w:t>Jury Brief · Presentation guide, technical reference and Q&amp;A</w:t>
      </w:r>
    </w:p>
    <w:p>
      <w:pPr>
        <w:spacing w:after="120" w:before="0"/>
      </w:pPr>
      <w:r>
        <w:rPr>
          <w:rFonts w:ascii="Calibri" w:hAnsi="Calibri"/>
          <w:b w:val="0"/>
          <w:i w:val="0"/>
          <w:color w:val="56607A"/>
          <w:sz w:val="19"/>
        </w:rPr>
        <w:t>Ministry of Statistics and Programme Implementation  ·  MPLAD Scheme</w:t>
      </w:r>
    </w:p>
    <w:p>
      <w:pPr>
        <w:spacing w:after="120" w:before="0"/>
      </w:pPr>
      <w:r>
        <w:rPr>
          <w:rFonts w:ascii="Calibri" w:hAnsi="Calibri"/>
          <w:b w:val="0"/>
          <w:i/>
          <w:color w:val="56607A"/>
          <w:sz w:val="19"/>
        </w:rPr>
        <w:t>Every figure in this document was read from the running system — library versions, row counts, evidence strings and the 110 ms audit runtime. Nothing is estimated.</w:t>
      </w:r>
    </w:p>
    <w:p>
      <w:pPr>
        <w:pStyle w:val="Heading1"/>
        <w:spacing w:before="360" w:after="120"/>
        <w:pBdr>
          <w:bottom w:val="single" w:sz="6" w:space="6" w:color="E2E6EE"/>
        </w:pBdr>
      </w:pPr>
      <w:r>
        <w:rPr>
          <w:rFonts w:ascii="Georgia" w:hAnsi="Georgia"/>
          <w:b/>
          <w:color w:val="0F2544"/>
          <w:sz w:val="32"/>
        </w:rPr>
        <w:t>1.  The product in one paragraph</w:t>
      </w:r>
    </w:p>
    <w:p>
      <w:pPr>
        <w:spacing w:after="120" w:before="0"/>
      </w:pPr>
      <w:r>
        <w:rPr>
          <w:rFonts w:ascii="Calibri" w:hAnsi="Calibri"/>
          <w:b w:val="0"/>
          <w:i w:val="0"/>
          <w:color w:val="10151F"/>
          <w:sz w:val="20"/>
        </w:rPr>
        <w:t xml:space="preserve">Under MPLADS, every Member of Parliament directs roughly </w:t>
      </w:r>
      <w:r>
        <w:rPr>
          <w:rFonts w:ascii="Calibri" w:hAnsi="Calibri"/>
          <w:b/>
          <w:i w:val="0"/>
          <w:color w:val="10151F"/>
          <w:sz w:val="20"/>
        </w:rPr>
        <w:t>₹5 crore a year</w:t>
      </w:r>
      <w:r>
        <w:rPr>
          <w:rFonts w:ascii="Calibri" w:hAnsi="Calibri"/>
          <w:b w:val="0"/>
          <w:i w:val="0"/>
          <w:color w:val="10151F"/>
          <w:sz w:val="20"/>
        </w:rPr>
        <w:t xml:space="preserve"> into local development works — roads, community halls, borewells, classrooms, health centres. Across 543 constituencies that produces far more sanctions, tenders, bids and progress reports than any audit team can review by hand, so problems surface years late, if at all.</w:t>
      </w:r>
    </w:p>
    <w:p>
      <w:pPr>
        <w:spacing w:after="120" w:before="0"/>
      </w:pPr>
      <w:r>
        <w:rPr>
          <w:rFonts w:ascii="Calibri" w:hAnsi="Calibri"/>
          <w:b/>
          <w:i w:val="0"/>
          <w:color w:val="10151F"/>
          <w:sz w:val="20"/>
        </w:rPr>
        <w:t>NirmanDrishti loads that data into a relational database and runs four detectors, each encoding one known malpractice pattern.</w:t>
      </w:r>
      <w:r>
        <w:rPr>
          <w:rFonts w:ascii="Calibri" w:hAnsi="Calibri"/>
          <w:b w:val="0"/>
          <w:i w:val="0"/>
          <w:color w:val="10151F"/>
          <w:sz w:val="20"/>
        </w:rPr>
        <w:t xml:space="preserve"> Every alert it raises carries the arithmetic that produced it — a measured GPS distance, a rate ratio, a count of shared tenders, a number of idle days — so an officer can independently verify the finding before acting on it.</w:t>
      </w:r>
    </w:p>
    <w:p>
      <w:pPr>
        <w:pStyle w:val="Heading3"/>
        <w:spacing w:before="260" w:after="120"/>
      </w:pPr>
      <w:r>
        <w:rPr>
          <w:rFonts w:ascii="Calibri" w:hAnsi="Calibri"/>
          <w:b/>
          <w:color w:val="10151F"/>
          <w:sz w:val="23"/>
        </w:rPr>
        <w:t>The four things it looks for</w:t>
      </w:r>
    </w:p>
    <w:p>
      <w:pPr>
        <w:pStyle w:val="ListNumber"/>
        <w:spacing w:after="60" w:line="276" w:lineRule="auto"/>
      </w:pPr>
      <w:r>
        <w:rPr>
          <w:rFonts w:ascii="Calibri" w:hAnsi="Calibri"/>
          <w:b/>
          <w:i w:val="0"/>
          <w:color w:val="10151F"/>
          <w:sz w:val="20"/>
        </w:rPr>
        <w:t>Duplicate assets.</w:t>
      </w:r>
      <w:r>
        <w:rPr>
          <w:rFonts w:ascii="Calibri" w:hAnsi="Calibri"/>
          <w:b w:val="0"/>
          <w:i w:val="0"/>
          <w:color w:val="10151F"/>
          <w:sz w:val="20"/>
        </w:rPr>
        <w:t xml:space="preserve"> The same work billed twice at the same spot.</w:t>
      </w:r>
    </w:p>
    <w:p>
      <w:pPr>
        <w:pStyle w:val="ListNumber"/>
        <w:spacing w:after="60" w:line="276" w:lineRule="auto"/>
      </w:pPr>
      <w:r>
        <w:rPr>
          <w:rFonts w:ascii="Calibri" w:hAnsi="Calibri"/>
          <w:b/>
          <w:i w:val="0"/>
          <w:color w:val="10151F"/>
          <w:sz w:val="20"/>
        </w:rPr>
        <w:t>Collusive bidding.</w:t>
      </w:r>
      <w:r>
        <w:rPr>
          <w:rFonts w:ascii="Calibri" w:hAnsi="Calibri"/>
          <w:b w:val="0"/>
          <w:i w:val="0"/>
          <w:color w:val="10151F"/>
          <w:sz w:val="20"/>
        </w:rPr>
        <w:t xml:space="preserve"> The same contractors bidding together with rotating winners.</w:t>
      </w:r>
    </w:p>
    <w:p>
      <w:pPr>
        <w:pStyle w:val="ListNumber"/>
        <w:spacing w:after="60" w:line="276" w:lineRule="auto"/>
      </w:pPr>
      <w:r>
        <w:rPr>
          <w:rFonts w:ascii="Calibri" w:hAnsi="Calibri"/>
          <w:b/>
          <w:i w:val="0"/>
          <w:color w:val="10151F"/>
          <w:sz w:val="20"/>
        </w:rPr>
        <w:t>Inflated cost.</w:t>
      </w:r>
      <w:r>
        <w:rPr>
          <w:rFonts w:ascii="Calibri" w:hAnsi="Calibri"/>
          <w:b w:val="0"/>
          <w:i w:val="0"/>
          <w:color w:val="10151F"/>
          <w:sz w:val="20"/>
        </w:rPr>
        <w:t xml:space="preserve"> Work priced far above the official state rate schedule.</w:t>
      </w:r>
    </w:p>
    <w:p>
      <w:pPr>
        <w:pStyle w:val="ListNumber"/>
        <w:spacing w:after="60" w:line="276" w:lineRule="auto"/>
      </w:pPr>
      <w:r>
        <w:rPr>
          <w:rFonts w:ascii="Calibri" w:hAnsi="Calibri"/>
          <w:b/>
          <w:i w:val="0"/>
          <w:color w:val="10151F"/>
          <w:sz w:val="20"/>
        </w:rPr>
        <w:t>Stalled funds.</w:t>
      </w:r>
      <w:r>
        <w:rPr>
          <w:rFonts w:ascii="Calibri" w:hAnsi="Calibri"/>
          <w:b w:val="0"/>
          <w:i w:val="0"/>
          <w:color w:val="10151F"/>
          <w:sz w:val="20"/>
        </w:rPr>
        <w:t xml:space="preserve"> Money sanctioned long ago against work that never progressed.</w:t>
      </w:r>
    </w:p>
    <w:p>
      <w:pPr>
        <w:pStyle w:val="Heading1"/>
        <w:spacing w:before="360" w:after="120"/>
        <w:pBdr>
          <w:bottom w:val="single" w:sz="6" w:space="6" w:color="E2E6EE"/>
        </w:pBdr>
      </w:pPr>
      <w:r>
        <w:rPr>
          <w:rFonts w:ascii="Georgia" w:hAnsi="Georgia"/>
          <w:b/>
          <w:color w:val="0F2544"/>
          <w:sz w:val="32"/>
        </w:rPr>
        <w:t>2.  The 60-second opening</w:t>
      </w:r>
    </w:p>
    <w:p>
      <w:pPr>
        <w:spacing w:after="120" w:before="0"/>
      </w:pPr>
      <w:r>
        <w:rPr>
          <w:rFonts w:ascii="Calibri" w:hAnsi="Calibri"/>
          <w:b w:val="0"/>
          <w:i/>
          <w:color w:val="56607A"/>
          <w:sz w:val="19"/>
        </w:rPr>
        <w:t>Learn the shape, not the words. Speaking it naturally beats reciting it.</w:t>
      </w:r>
    </w:p>
    <w:p>
      <w:pPr>
        <w:spacing w:after="120" w:before="0"/>
      </w:pPr>
      <w:r>
        <w:rPr>
          <w:rFonts w:ascii="Calibri" w:hAnsi="Calibri"/>
          <w:b w:val="0"/>
          <w:i w:val="0"/>
          <w:color w:val="10151F"/>
          <w:sz w:val="20"/>
        </w:rPr>
        <w:t>"Respected judges — under MPLADS, the central government releases over ₹4,000 crore each year for local development works across 543 constituencies.</w:t>
      </w:r>
    </w:p>
    <w:p>
      <w:pPr>
        <w:spacing w:after="120" w:before="0"/>
      </w:pPr>
      <w:r>
        <w:rPr>
          <w:rFonts w:ascii="Calibri" w:hAnsi="Calibri"/>
          <w:b w:val="0"/>
          <w:i w:val="0"/>
          <w:color w:val="10151F"/>
          <w:sz w:val="20"/>
        </w:rPr>
        <w:t xml:space="preserve">Because those works are audited manually, four problems routinely go unnoticed: </w:t>
      </w:r>
      <w:r>
        <w:rPr>
          <w:rFonts w:ascii="Calibri" w:hAnsi="Calibri"/>
          <w:b/>
          <w:i w:val="0"/>
          <w:color w:val="10151F"/>
          <w:sz w:val="20"/>
        </w:rPr>
        <w:t>duplicate assets</w:t>
      </w:r>
      <w:r>
        <w:rPr>
          <w:rFonts w:ascii="Calibri" w:hAnsi="Calibri"/>
          <w:b w:val="0"/>
          <w:i w:val="0"/>
          <w:color w:val="10151F"/>
          <w:sz w:val="20"/>
        </w:rPr>
        <w:t xml:space="preserve"> billed twice, </w:t>
      </w:r>
      <w:r>
        <w:rPr>
          <w:rFonts w:ascii="Calibri" w:hAnsi="Calibri"/>
          <w:b/>
          <w:i w:val="0"/>
          <w:color w:val="10151F"/>
          <w:sz w:val="20"/>
        </w:rPr>
        <w:t>contractor cartels</w:t>
      </w:r>
      <w:r>
        <w:rPr>
          <w:rFonts w:ascii="Calibri" w:hAnsi="Calibri"/>
          <w:b w:val="0"/>
          <w:i w:val="0"/>
          <w:color w:val="10151F"/>
          <w:sz w:val="20"/>
        </w:rPr>
        <w:t xml:space="preserve"> rigging tenders, </w:t>
      </w:r>
      <w:r>
        <w:rPr>
          <w:rFonts w:ascii="Calibri" w:hAnsi="Calibri"/>
          <w:b/>
          <w:i w:val="0"/>
          <w:color w:val="10151F"/>
          <w:sz w:val="20"/>
        </w:rPr>
        <w:t>inflated billing</w:t>
      </w:r>
      <w:r>
        <w:rPr>
          <w:rFonts w:ascii="Calibri" w:hAnsi="Calibri"/>
          <w:b w:val="0"/>
          <w:i w:val="0"/>
          <w:color w:val="10151F"/>
          <w:sz w:val="20"/>
        </w:rPr>
        <w:t xml:space="preserve"> far above official rates, and </w:t>
      </w:r>
      <w:r>
        <w:rPr>
          <w:rFonts w:ascii="Calibri" w:hAnsi="Calibri"/>
          <w:b/>
          <w:i w:val="0"/>
          <w:color w:val="10151F"/>
          <w:sz w:val="20"/>
        </w:rPr>
        <w:t>funds sitting idle</w:t>
      </w:r>
      <w:r>
        <w:rPr>
          <w:rFonts w:ascii="Calibri" w:hAnsi="Calibri"/>
          <w:b w:val="0"/>
          <w:i w:val="0"/>
          <w:color w:val="10151F"/>
          <w:sz w:val="20"/>
        </w:rPr>
        <w:t xml:space="preserve"> for years.</w:t>
      </w:r>
    </w:p>
    <w:p>
      <w:pPr>
        <w:spacing w:after="120" w:before="0"/>
      </w:pPr>
      <w:r>
        <w:rPr>
          <w:rFonts w:ascii="Calibri" w:hAnsi="Calibri"/>
          <w:b w:val="0"/>
          <w:i w:val="0"/>
          <w:color w:val="10151F"/>
          <w:sz w:val="20"/>
        </w:rPr>
        <w:t xml:space="preserve">We built NirmanDrishti. It ingests the official MoSPI allocation dataset — all 543 constituencies — and runs four detection engines: </w:t>
      </w:r>
      <w:r>
        <w:rPr>
          <w:rFonts w:ascii="Calibri" w:hAnsi="Calibri"/>
          <w:b/>
          <w:i w:val="0"/>
          <w:color w:val="10151F"/>
          <w:sz w:val="20"/>
        </w:rPr>
        <w:t>Haversine distance</w:t>
      </w:r>
      <w:r>
        <w:rPr>
          <w:rFonts w:ascii="Calibri" w:hAnsi="Calibri"/>
          <w:b w:val="0"/>
          <w:i w:val="0"/>
          <w:color w:val="10151F"/>
          <w:sz w:val="20"/>
        </w:rPr>
        <w:t xml:space="preserve"> for duplicate assets, a </w:t>
      </w:r>
      <w:r>
        <w:rPr>
          <w:rFonts w:ascii="Calibri" w:hAnsi="Calibri"/>
          <w:b/>
          <w:i w:val="0"/>
          <w:color w:val="10151F"/>
          <w:sz w:val="20"/>
        </w:rPr>
        <w:t>co-bidding graph</w:t>
      </w:r>
      <w:r>
        <w:rPr>
          <w:rFonts w:ascii="Calibri" w:hAnsi="Calibri"/>
          <w:b w:val="0"/>
          <w:i w:val="0"/>
          <w:color w:val="10151F"/>
          <w:sz w:val="20"/>
        </w:rPr>
        <w:t xml:space="preserve"> for cartels, </w:t>
      </w:r>
      <w:r>
        <w:rPr>
          <w:rFonts w:ascii="Calibri" w:hAnsi="Calibri"/>
          <w:b/>
          <w:i w:val="0"/>
          <w:color w:val="10151F"/>
          <w:sz w:val="20"/>
        </w:rPr>
        <w:t>PWD Schedule of Rates</w:t>
      </w:r>
      <w:r>
        <w:rPr>
          <w:rFonts w:ascii="Calibri" w:hAnsi="Calibri"/>
          <w:b w:val="0"/>
          <w:i w:val="0"/>
          <w:color w:val="10151F"/>
          <w:sz w:val="20"/>
        </w:rPr>
        <w:t xml:space="preserve"> comparison for inflated cost, and </w:t>
      </w:r>
      <w:r>
        <w:rPr>
          <w:rFonts w:ascii="Calibri" w:hAnsi="Calibri"/>
          <w:b/>
          <w:i w:val="0"/>
          <w:color w:val="10151F"/>
          <w:sz w:val="20"/>
        </w:rPr>
        <w:t>temporal queries</w:t>
      </w:r>
      <w:r>
        <w:rPr>
          <w:rFonts w:ascii="Calibri" w:hAnsi="Calibri"/>
          <w:b w:val="0"/>
          <w:i w:val="0"/>
          <w:color w:val="10151F"/>
          <w:sz w:val="20"/>
        </w:rPr>
        <w:t xml:space="preserve"> for stalled funds.</w:t>
      </w:r>
    </w:p>
    <w:p>
      <w:pPr>
        <w:spacing w:after="120" w:before="0"/>
      </w:pPr>
      <w:r>
        <w:rPr>
          <w:rFonts w:ascii="Calibri" w:hAnsi="Calibri"/>
          <w:b w:val="0"/>
          <w:i w:val="0"/>
          <w:color w:val="10151F"/>
          <w:sz w:val="20"/>
        </w:rPr>
        <w:t xml:space="preserve">On our current dataset it raises </w:t>
      </w:r>
      <w:r>
        <w:rPr>
          <w:rFonts w:ascii="Calibri" w:hAnsi="Calibri"/>
          <w:b/>
          <w:i w:val="0"/>
          <w:color w:val="10151F"/>
          <w:sz w:val="20"/>
        </w:rPr>
        <w:t>six confirmed findings</w:t>
      </w:r>
      <w:r>
        <w:rPr>
          <w:rFonts w:ascii="Calibri" w:hAnsi="Calibri"/>
          <w:b w:val="0"/>
          <w:i w:val="0"/>
          <w:color w:val="10151F"/>
          <w:sz w:val="20"/>
        </w:rPr>
        <w:t xml:space="preserve"> — including two borewells forty-five metres apart, and a village road sanctioned at three-point-two-seven times the official ceiling.</w:t>
      </w:r>
    </w:p>
    <w:p>
      <w:pPr>
        <w:spacing w:after="120" w:before="0"/>
      </w:pPr>
      <w:r>
        <w:rPr>
          <w:rFonts w:ascii="Calibri" w:hAnsi="Calibri"/>
          <w:b w:val="0"/>
          <w:i w:val="0"/>
          <w:color w:val="10151F"/>
          <w:sz w:val="20"/>
        </w:rPr>
        <w:t>Every one of those findings carries its own arithmetic, because in a corruption inquiry an alert an officer cannot recompute is an alert nobody can act on. Thank you."</w:t>
      </w: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Say “six”, never “548”</w:t>
            </w:r>
          </w:p>
          <w:p>
            <w:pPr>
              <w:spacing w:after="0" w:line="276" w:lineRule="auto"/>
            </w:pPr>
            <w:r>
              <w:rPr>
                <w:rFonts w:ascii="Calibri" w:hAnsi="Calibri"/>
                <w:b w:val="0"/>
                <w:i w:val="0"/>
                <w:color w:val="10151F"/>
                <w:sz w:val="19"/>
              </w:rPr>
              <w:t xml:space="preserve">The database holds 548 alerts, but 542 are low-specificity unspent-balance notices that fire on nearly every constituency. Leading with 548 invites the question "how many are real?" — and you lose the room. Lead with </w:t>
            </w:r>
            <w:r>
              <w:rPr>
                <w:rFonts w:ascii="Calibri" w:hAnsi="Calibri"/>
                <w:b/>
                <w:i w:val="0"/>
                <w:color w:val="10151F"/>
                <w:sz w:val="19"/>
              </w:rPr>
              <w:t>six confirmed findings</w:t>
            </w:r>
            <w:r>
              <w:rPr>
                <w:rFonts w:ascii="Calibri" w:hAnsi="Calibri"/>
                <w:b w:val="0"/>
                <w:i w:val="0"/>
                <w:color w:val="10151F"/>
                <w:sz w:val="19"/>
              </w:rPr>
              <w:t>, and mention the advisory tier only if asked.</w:t>
            </w:r>
          </w:p>
        </w:tc>
      </w:tr>
    </w:tbl>
    <w:p>
      <w:pPr>
        <w:spacing w:after="40"/>
      </w:pPr>
    </w:p>
    <w:p>
      <w:r>
        <w:br w:type="page"/>
      </w:r>
    </w:p>
    <w:p>
      <w:pPr>
        <w:pStyle w:val="Heading1"/>
        <w:spacing w:before="360" w:after="120"/>
        <w:pBdr>
          <w:bottom w:val="single" w:sz="6" w:space="6" w:color="E2E6EE"/>
        </w:pBdr>
      </w:pPr>
      <w:r>
        <w:rPr>
          <w:rFonts w:ascii="Georgia" w:hAnsi="Georgia"/>
          <w:b/>
          <w:color w:val="0F2544"/>
          <w:sz w:val="32"/>
        </w:rPr>
        <w:t>3.  Demo script</w:t>
      </w:r>
    </w:p>
    <w:p>
      <w:pPr>
        <w:spacing w:after="120" w:before="0"/>
      </w:pPr>
      <w:r>
        <w:rPr>
          <w:rFonts w:ascii="Calibri" w:hAnsi="Calibri"/>
          <w:b w:val="0"/>
          <w:i/>
          <w:color w:val="56607A"/>
          <w:sz w:val="19"/>
        </w:rPr>
        <w:t>Roughly four minutes. Each screen sets up the next.</w:t>
      </w:r>
    </w:p>
    <w:tbl>
      <w:tblPr>
        <w:tblW w:type="auto" w:w="0"/>
        <w:jc w:val="center"/>
        <w:tblLook w:firstColumn="1" w:firstRow="1" w:lastColumn="0" w:lastRow="0" w:noHBand="0" w:noVBand="1" w:val="04A0"/>
      </w:tblPr>
      <w:tblGrid>
        <w:gridCol w:w="9518"/>
      </w:tblGrid>
      <w:tr>
        <w:tc>
          <w:tcPr>
            <w:tcW w:type="dxa" w:w="9518"/>
            <w:tcBorders>
              <w:left w:val="single" w:sz="18" w:color="1B7F4B"/>
              <w:top w:val="single" w:sz="2" w:color="F1F8F4"/>
              <w:bottom w:val="single" w:sz="2" w:color="F1F8F4"/>
              <w:right w:val="single" w:sz="2" w:color="F1F8F4"/>
            </w:tcBorders>
          </w:tcPr>
          <w:p>
            <w:pPr>
              <w:spacing w:after="80"/>
            </w:pPr>
            <w:r/>
            <w:r>
              <w:rPr>
                <w:rFonts w:ascii="Calibri" w:hAnsi="Calibri"/>
                <w:b/>
                <w:color w:val="1B7F4B"/>
                <w:sz w:val="20"/>
              </w:rPr>
              <w:t>Before you start</w:t>
            </w:r>
          </w:p>
          <w:p>
            <w:pPr>
              <w:spacing w:after="80" w:line="276" w:lineRule="auto"/>
            </w:pPr>
            <w:r>
              <w:rPr>
                <w:rFonts w:ascii="Calibri" w:hAnsi="Calibri"/>
                <w:b w:val="0"/>
                <w:i w:val="0"/>
                <w:color w:val="10151F"/>
                <w:sz w:val="19"/>
              </w:rPr>
              <w:t xml:space="preserve">Run </w:t>
            </w:r>
            <w:r>
              <w:rPr>
                <w:rFonts w:ascii="Calibri" w:hAnsi="Calibri"/>
                <w:b/>
                <w:i w:val="0"/>
                <w:color w:val="10151F"/>
                <w:sz w:val="19"/>
              </w:rPr>
              <w:t>python run.py</w:t>
            </w:r>
            <w:r>
              <w:rPr>
                <w:rFonts w:ascii="Calibri" w:hAnsi="Calibri"/>
                <w:b w:val="0"/>
                <w:i w:val="0"/>
                <w:color w:val="10151F"/>
                <w:sz w:val="19"/>
              </w:rPr>
              <w:t xml:space="preserve"> and wait for the browser to open at localhost:8000. If it looks dark and neon, press </w:t>
            </w:r>
            <w:r>
              <w:rPr>
                <w:rFonts w:ascii="Calibri" w:hAnsi="Calibri"/>
                <w:b/>
                <w:i w:val="0"/>
                <w:color w:val="10151F"/>
                <w:sz w:val="19"/>
              </w:rPr>
              <w:t>Ctrl+Shift+R</w:t>
            </w:r>
            <w:r>
              <w:rPr>
                <w:rFonts w:ascii="Calibri" w:hAnsi="Calibri"/>
                <w:b w:val="0"/>
                <w:i w:val="0"/>
                <w:color w:val="10151F"/>
                <w:sz w:val="19"/>
              </w:rPr>
              <w:t xml:space="preserve"> — that is a stale cache, not the current build.</w:t>
            </w:r>
          </w:p>
          <w:p>
            <w:pPr>
              <w:spacing w:after="0" w:line="276" w:lineRule="auto"/>
            </w:pPr>
            <w:r>
              <w:rPr>
                <w:rFonts w:ascii="Calibri" w:hAnsi="Calibri"/>
                <w:b w:val="0"/>
                <w:i w:val="0"/>
                <w:color w:val="10151F"/>
                <w:sz w:val="19"/>
              </w:rPr>
              <w:t xml:space="preserve">For the internal round you can instead open </w:t>
            </w:r>
            <w:r>
              <w:rPr>
                <w:rFonts w:ascii="Calibri" w:hAnsi="Calibri"/>
                <w:b/>
                <w:i w:val="0"/>
                <w:color w:val="10151F"/>
                <w:sz w:val="19"/>
              </w:rPr>
              <w:t>demo/nirmandrishti-demo.html</w:t>
            </w:r>
            <w:r>
              <w:rPr>
                <w:rFonts w:ascii="Calibri" w:hAnsi="Calibri"/>
                <w:b w:val="0"/>
                <w:i w:val="0"/>
                <w:color w:val="10151F"/>
                <w:sz w:val="19"/>
              </w:rPr>
              <w:t xml:space="preserve"> directly. It needs no Python at all.</w:t>
            </w:r>
          </w:p>
        </w:tc>
      </w:tr>
    </w:tbl>
    <w:p>
      <w:pPr>
        <w:spacing w:after="40"/>
      </w:pPr>
    </w:p>
    <w:p>
      <w:pPr>
        <w:spacing w:after="40" w:before="160"/>
      </w:pPr>
      <w:r>
        <w:rPr>
          <w:rFonts w:ascii="Consolas" w:hAnsi="Consolas"/>
          <w:b/>
          <w:color w:val="B3261E"/>
          <w:sz w:val="19"/>
        </w:rPr>
        <w:t xml:space="preserve">01   </w:t>
      </w:r>
      <w:r>
        <w:rPr>
          <w:b/>
          <w:color w:val="10151F"/>
          <w:sz w:val="21"/>
        </w:rPr>
        <w:t>Open on the Audit Overview</w:t>
      </w:r>
      <w:r>
        <w:rPr>
          <w:rFonts w:ascii="Consolas" w:hAnsi="Consolas"/>
          <w:color w:val="56607A"/>
          <w:sz w:val="17"/>
        </w:rPr>
        <w:t xml:space="preserve">      0:00</w:t>
      </w:r>
    </w:p>
    <w:p>
      <w:pPr>
        <w:spacing w:after="60" w:before="0"/>
        <w:ind w:left="400"/>
      </w:pPr>
      <w:r>
        <w:rPr>
          <w:rFonts w:ascii="Calibri" w:hAnsi="Calibri"/>
          <w:b w:val="0"/>
          <w:i w:val="0"/>
          <w:color w:val="56607A"/>
          <w:sz w:val="19"/>
        </w:rPr>
        <w:t>Do not scroll yet. Let them read the four cards.</w:t>
      </w:r>
    </w:p>
    <w:p>
      <w:pPr>
        <w:spacing w:after="120" w:before="0"/>
        <w:ind w:left="400"/>
        <w:pBdr>
          <w:left w:val="single" w:sz="8" w:space="6" w:color="E2E6EE"/>
        </w:pBdr>
      </w:pPr>
      <w:r>
        <w:rPr>
          <w:rFonts w:ascii="Calibri" w:hAnsi="Calibri"/>
          <w:b w:val="0"/>
          <w:i/>
          <w:color w:val="10151F"/>
          <w:sz w:val="19"/>
        </w:rPr>
        <w:t>"Six confirmed findings, ₹150 lakh of sanctioned value at risk, and the largest single overcharge is ₹37.5 lakh above the official ceiling."</w:t>
      </w:r>
    </w:p>
    <w:p>
      <w:pPr>
        <w:spacing w:after="40" w:before="160"/>
      </w:pPr>
      <w:r>
        <w:rPr>
          <w:rFonts w:ascii="Consolas" w:hAnsi="Consolas"/>
          <w:b/>
          <w:color w:val="B3261E"/>
          <w:sz w:val="19"/>
        </w:rPr>
        <w:t xml:space="preserve">02   </w:t>
      </w:r>
      <w:r>
        <w:rPr>
          <w:b/>
          <w:color w:val="10151F"/>
          <w:sz w:val="21"/>
        </w:rPr>
        <w:t>Point at the severity ladder</w:t>
      </w:r>
      <w:r>
        <w:rPr>
          <w:rFonts w:ascii="Consolas" w:hAnsi="Consolas"/>
          <w:color w:val="56607A"/>
          <w:sz w:val="17"/>
        </w:rPr>
        <w:t xml:space="preserve">      0:25</w:t>
      </w:r>
    </w:p>
    <w:p>
      <w:pPr>
        <w:spacing w:after="60" w:before="0"/>
        <w:ind w:left="400"/>
      </w:pPr>
      <w:r>
        <w:rPr>
          <w:rFonts w:ascii="Calibri" w:hAnsi="Calibri"/>
          <w:b w:val="0"/>
          <w:i w:val="0"/>
          <w:color w:val="56607A"/>
          <w:sz w:val="19"/>
        </w:rPr>
        <w:t>Two critical, four high, 542 advisory. Name the advisory tier before a judge finds it.</w:t>
      </w:r>
    </w:p>
    <w:p>
      <w:pPr>
        <w:spacing w:after="120" w:before="0"/>
        <w:ind w:left="400"/>
        <w:pBdr>
          <w:left w:val="single" w:sz="8" w:space="6" w:color="E2E6EE"/>
        </w:pBdr>
      </w:pPr>
      <w:r>
        <w:rPr>
          <w:rFonts w:ascii="Calibri" w:hAnsi="Calibri"/>
          <w:b w:val="0"/>
          <w:i/>
          <w:color w:val="10151F"/>
          <w:sz w:val="19"/>
        </w:rPr>
        <w:t>"We separate confirmed findings from advisory notices. Burying four real cases inside five hundred weak ones is how audit systems get ignored."</w:t>
      </w:r>
    </w:p>
    <w:p>
      <w:pPr>
        <w:spacing w:after="40" w:before="160"/>
      </w:pPr>
      <w:r>
        <w:rPr>
          <w:rFonts w:ascii="Consolas" w:hAnsi="Consolas"/>
          <w:b/>
          <w:color w:val="B3261E"/>
          <w:sz w:val="19"/>
        </w:rPr>
        <w:t xml:space="preserve">03   </w:t>
      </w:r>
      <w:r>
        <w:rPr>
          <w:b/>
          <w:color w:val="10151F"/>
          <w:sz w:val="21"/>
        </w:rPr>
        <w:t>The cost-versus-ceiling chart</w:t>
      </w:r>
      <w:r>
        <w:rPr>
          <w:rFonts w:ascii="Consolas" w:hAnsi="Consolas"/>
          <w:color w:val="56607A"/>
          <w:sz w:val="17"/>
        </w:rPr>
        <w:t xml:space="preserve">      0:50</w:t>
      </w:r>
    </w:p>
    <w:p>
      <w:pPr>
        <w:spacing w:after="60" w:before="0"/>
        <w:ind w:left="400"/>
      </w:pPr>
      <w:r>
        <w:rPr>
          <w:rFonts w:ascii="Calibri" w:hAnsi="Calibri"/>
          <w:b w:val="0"/>
          <w:i w:val="0"/>
          <w:color w:val="56607A"/>
          <w:sz w:val="19"/>
        </w:rPr>
        <w:t>The black line is the PWD ceiling; the red bar is what was sanctioned.</w:t>
      </w:r>
    </w:p>
    <w:p>
      <w:pPr>
        <w:spacing w:after="120" w:before="0"/>
        <w:ind w:left="400"/>
        <w:pBdr>
          <w:left w:val="single" w:sz="8" w:space="6" w:color="E2E6EE"/>
        </w:pBdr>
      </w:pPr>
      <w:r>
        <w:rPr>
          <w:rFonts w:ascii="Calibri" w:hAnsi="Calibri"/>
          <w:b w:val="0"/>
          <w:i/>
          <w:color w:val="10151F"/>
          <w:sz w:val="19"/>
        </w:rPr>
        <w:t>"A 1.2 km village road in Jaipur Rural. Official ceiling ₹16.5 lakh. Sanctioned at ₹54 lakh — 3.27 times the rate."</w:t>
      </w:r>
    </w:p>
    <w:p>
      <w:pPr>
        <w:spacing w:after="40" w:before="160"/>
      </w:pPr>
      <w:r>
        <w:rPr>
          <w:rFonts w:ascii="Consolas" w:hAnsi="Consolas"/>
          <w:b/>
          <w:color w:val="B3261E"/>
          <w:sz w:val="19"/>
        </w:rPr>
        <w:t xml:space="preserve">04   </w:t>
      </w:r>
      <w:r>
        <w:rPr>
          <w:b/>
          <w:color w:val="10151F"/>
          <w:sz w:val="21"/>
        </w:rPr>
        <w:t>Scroll to Priority cases</w:t>
      </w:r>
      <w:r>
        <w:rPr>
          <w:rFonts w:ascii="Consolas" w:hAnsi="Consolas"/>
          <w:color w:val="56607A"/>
          <w:sz w:val="17"/>
        </w:rPr>
        <w:t xml:space="preserve">      1:20</w:t>
      </w:r>
    </w:p>
    <w:p>
      <w:pPr>
        <w:spacing w:after="60" w:before="0"/>
        <w:ind w:left="400"/>
      </w:pPr>
      <w:r>
        <w:rPr>
          <w:rFonts w:ascii="Calibri" w:hAnsi="Calibri"/>
          <w:b w:val="0"/>
          <w:i w:val="0"/>
          <w:color w:val="56607A"/>
          <w:sz w:val="19"/>
        </w:rPr>
        <w:t>Each card leads with its measurement. The 45.0 m duplicate is the most intuitive.</w:t>
      </w:r>
    </w:p>
    <w:p>
      <w:pPr>
        <w:spacing w:after="120" w:before="0"/>
        <w:ind w:left="400"/>
        <w:pBdr>
          <w:left w:val="single" w:sz="8" w:space="6" w:color="E2E6EE"/>
        </w:pBdr>
      </w:pPr>
      <w:r>
        <w:rPr>
          <w:rFonts w:ascii="Calibri" w:hAnsi="Calibri"/>
          <w:b w:val="0"/>
          <w:i/>
          <w:color w:val="10151F"/>
          <w:sz w:val="19"/>
        </w:rPr>
        <w:t>"Two borewells, same category, same ward, forty-five metres apart, sanctioned fifty days apart to two different contractors."</w:t>
      </w:r>
    </w:p>
    <w:p>
      <w:pPr>
        <w:spacing w:after="40" w:before="160"/>
      </w:pPr>
      <w:r>
        <w:rPr>
          <w:rFonts w:ascii="Consolas" w:hAnsi="Consolas"/>
          <w:b/>
          <w:color w:val="B3261E"/>
          <w:sz w:val="19"/>
        </w:rPr>
        <w:t xml:space="preserve">05   </w:t>
      </w:r>
      <w:r>
        <w:rPr>
          <w:b/>
          <w:color w:val="10151F"/>
          <w:sz w:val="21"/>
        </w:rPr>
        <w:t>Click “Full evidence”</w:t>
      </w:r>
      <w:r>
        <w:rPr>
          <w:rFonts w:ascii="Consolas" w:hAnsi="Consolas"/>
          <w:color w:val="56607A"/>
          <w:sz w:val="17"/>
        </w:rPr>
        <w:t xml:space="preserve">      1:45</w:t>
      </w:r>
    </w:p>
    <w:p>
      <w:pPr>
        <w:spacing w:after="60" w:before="0"/>
        <w:ind w:left="400"/>
      </w:pPr>
      <w:r>
        <w:rPr>
          <w:rFonts w:ascii="Calibri" w:hAnsi="Calibri"/>
          <w:b w:val="0"/>
          <w:i w:val="0"/>
          <w:color w:val="56607A"/>
          <w:sz w:val="19"/>
        </w:rPr>
        <w:t>The most important click of the demo. Show the raw stored evidence with both coordinate pairs.</w:t>
      </w:r>
    </w:p>
    <w:p>
      <w:pPr>
        <w:spacing w:after="120" w:before="0"/>
        <w:ind w:left="400"/>
        <w:pBdr>
          <w:left w:val="single" w:sz="8" w:space="6" w:color="E2E6EE"/>
        </w:pBdr>
      </w:pPr>
      <w:r>
        <w:rPr>
          <w:rFonts w:ascii="Calibri" w:hAnsi="Calibri"/>
          <w:b w:val="0"/>
          <w:i/>
          <w:color w:val="10151F"/>
          <w:sz w:val="19"/>
        </w:rPr>
        <w:t>"Every finding stores its own proof. An officer can recompute this from the source records."</w:t>
      </w:r>
    </w:p>
    <w:p>
      <w:pPr>
        <w:spacing w:after="40" w:before="160"/>
      </w:pPr>
      <w:r>
        <w:rPr>
          <w:rFonts w:ascii="Consolas" w:hAnsi="Consolas"/>
          <w:b/>
          <w:color w:val="B3261E"/>
          <w:sz w:val="19"/>
        </w:rPr>
        <w:t xml:space="preserve">06   </w:t>
      </w:r>
      <w:r>
        <w:rPr>
          <w:b/>
          <w:color w:val="10151F"/>
          <w:sz w:val="21"/>
        </w:rPr>
        <w:t>Geospatial Map</w:t>
      </w:r>
      <w:r>
        <w:rPr>
          <w:rFonts w:ascii="Consolas" w:hAnsi="Consolas"/>
          <w:color w:val="56607A"/>
          <w:sz w:val="17"/>
        </w:rPr>
        <w:t xml:space="preserve">      2:15</w:t>
      </w:r>
    </w:p>
    <w:p>
      <w:pPr>
        <w:spacing w:after="120" w:before="0"/>
        <w:ind w:left="400"/>
      </w:pPr>
      <w:r>
        <w:rPr>
          <w:rFonts w:ascii="Calibri" w:hAnsi="Calibri"/>
          <w:b w:val="0"/>
          <w:i w:val="0"/>
          <w:color w:val="56607A"/>
          <w:sz w:val="19"/>
        </w:rPr>
        <w:t>Red pins critical, amber high, green verified. Click one pin.</w:t>
      </w:r>
    </w:p>
    <w:p>
      <w:pPr>
        <w:spacing w:after="40" w:before="160"/>
      </w:pPr>
      <w:r>
        <w:rPr>
          <w:rFonts w:ascii="Consolas" w:hAnsi="Consolas"/>
          <w:b/>
          <w:color w:val="B3261E"/>
          <w:sz w:val="19"/>
        </w:rPr>
        <w:t xml:space="preserve">07   </w:t>
      </w:r>
      <w:r>
        <w:rPr>
          <w:b/>
          <w:color w:val="10151F"/>
          <w:sz w:val="21"/>
        </w:rPr>
        <w:t>The co-bidding network</w:t>
      </w:r>
      <w:r>
        <w:rPr>
          <w:rFonts w:ascii="Consolas" w:hAnsi="Consolas"/>
          <w:color w:val="56607A"/>
          <w:sz w:val="17"/>
        </w:rPr>
        <w:t xml:space="preserve">      2:35</w:t>
      </w:r>
    </w:p>
    <w:p>
      <w:pPr>
        <w:spacing w:after="60" w:before="0"/>
        <w:ind w:left="400"/>
      </w:pPr>
      <w:r>
        <w:rPr>
          <w:rFonts w:ascii="Calibri" w:hAnsi="Calibri"/>
          <w:b w:val="0"/>
          <w:i w:val="0"/>
          <w:color w:val="56607A"/>
          <w:sz w:val="19"/>
        </w:rPr>
        <w:t>Three red nodes — the Patna contractors. Solid edges are winning bids.</w:t>
      </w:r>
    </w:p>
    <w:p>
      <w:pPr>
        <w:spacing w:after="120" w:before="0"/>
        <w:ind w:left="400"/>
        <w:pBdr>
          <w:left w:val="single" w:sz="8" w:space="6" w:color="E2E6EE"/>
        </w:pBdr>
      </w:pPr>
      <w:r>
        <w:rPr>
          <w:rFonts w:ascii="Calibri" w:hAnsi="Calibri"/>
          <w:b w:val="0"/>
          <w:i/>
          <w:color w:val="10151F"/>
          <w:sz w:val="19"/>
        </w:rPr>
        <w:t>"Three contractors, three tenders, each wins exactly once while the other two bid just above. That rotation is the signature of cover bidding."</w:t>
      </w:r>
    </w:p>
    <w:p>
      <w:pPr>
        <w:spacing w:after="40" w:before="160"/>
      </w:pPr>
      <w:r>
        <w:rPr>
          <w:rFonts w:ascii="Consolas" w:hAnsi="Consolas"/>
          <w:b/>
          <w:color w:val="B3261E"/>
          <w:sz w:val="19"/>
        </w:rPr>
        <w:t xml:space="preserve">08   </w:t>
      </w:r>
      <w:r>
        <w:rPr>
          <w:b/>
          <w:color w:val="10151F"/>
          <w:sz w:val="21"/>
        </w:rPr>
        <w:t>MP Directory</w:t>
      </w:r>
      <w:r>
        <w:rPr>
          <w:rFonts w:ascii="Consolas" w:hAnsi="Consolas"/>
          <w:color w:val="56607A"/>
          <w:sz w:val="17"/>
        </w:rPr>
        <w:t xml:space="preserve">      3:05</w:t>
      </w:r>
    </w:p>
    <w:p>
      <w:pPr>
        <w:spacing w:after="60" w:before="0"/>
        <w:ind w:left="400"/>
      </w:pPr>
      <w:r>
        <w:rPr>
          <w:rFonts w:ascii="Calibri" w:hAnsi="Calibri"/>
          <w:b w:val="0"/>
          <w:i w:val="0"/>
          <w:color w:val="56607A"/>
          <w:sz w:val="19"/>
        </w:rPr>
        <w:t>Scroll fast so they see the list is genuinely long.</w:t>
      </w:r>
    </w:p>
    <w:p>
      <w:pPr>
        <w:spacing w:after="120" w:before="0"/>
        <w:ind w:left="400"/>
        <w:pBdr>
          <w:left w:val="single" w:sz="8" w:space="6" w:color="E2E6EE"/>
        </w:pBdr>
      </w:pPr>
      <w:r>
        <w:rPr>
          <w:rFonts w:ascii="Calibri" w:hAnsi="Calibri"/>
          <w:b w:val="0"/>
          <w:i/>
          <w:color w:val="10151F"/>
          <w:sz w:val="19"/>
        </w:rPr>
        <w:t>"All 543 constituencies from the official MoSPI allocation dataset."</w:t>
      </w:r>
    </w:p>
    <w:p>
      <w:pPr>
        <w:spacing w:after="40" w:before="160"/>
      </w:pPr>
      <w:r>
        <w:rPr>
          <w:rFonts w:ascii="Consolas" w:hAnsi="Consolas"/>
          <w:b/>
          <w:color w:val="B3261E"/>
          <w:sz w:val="19"/>
        </w:rPr>
        <w:t xml:space="preserve">09   </w:t>
      </w:r>
      <w:r>
        <w:rPr>
          <w:b/>
          <w:color w:val="10151F"/>
          <w:sz w:val="21"/>
        </w:rPr>
        <w:t>Press “Run audit”</w:t>
      </w:r>
      <w:r>
        <w:rPr>
          <w:rFonts w:ascii="Consolas" w:hAnsi="Consolas"/>
          <w:color w:val="56607A"/>
          <w:sz w:val="17"/>
        </w:rPr>
        <w:t xml:space="preserve">      3:25</w:t>
      </w:r>
    </w:p>
    <w:p>
      <w:pPr>
        <w:spacing w:after="60" w:before="0"/>
        <w:ind w:left="400"/>
      </w:pPr>
      <w:r>
        <w:rPr>
          <w:rFonts w:ascii="Calibri" w:hAnsi="Calibri"/>
          <w:b w:val="0"/>
          <w:i w:val="0"/>
          <w:color w:val="56607A"/>
          <w:sz w:val="19"/>
        </w:rPr>
        <w:t>Completes in about a tenth of a second.</w:t>
      </w:r>
    </w:p>
    <w:p>
      <w:pPr>
        <w:spacing w:after="120" w:before="0"/>
        <w:ind w:left="400"/>
        <w:pBdr>
          <w:left w:val="single" w:sz="8" w:space="6" w:color="E2E6EE"/>
        </w:pBdr>
      </w:pPr>
      <w:r>
        <w:rPr>
          <w:rFonts w:ascii="Calibri" w:hAnsi="Calibri"/>
          <w:b w:val="0"/>
          <w:i/>
          <w:color w:val="10151F"/>
          <w:sz w:val="19"/>
        </w:rPr>
        <w:t>"The full audit re-runs in around a hundred milliseconds."</w:t>
      </w:r>
    </w:p>
    <w:p>
      <w:pPr>
        <w:spacing w:after="40" w:before="160"/>
      </w:pPr>
      <w:r>
        <w:rPr>
          <w:rFonts w:ascii="Consolas" w:hAnsi="Consolas"/>
          <w:b/>
          <w:color w:val="B3261E"/>
          <w:sz w:val="19"/>
        </w:rPr>
        <w:t xml:space="preserve">10   </w:t>
      </w:r>
      <w:r>
        <w:rPr>
          <w:b/>
          <w:color w:val="10151F"/>
          <w:sz w:val="21"/>
        </w:rPr>
        <w:t>Close on Methodology</w:t>
      </w:r>
      <w:r>
        <w:rPr>
          <w:rFonts w:ascii="Consolas" w:hAnsi="Consolas"/>
          <w:color w:val="56607A"/>
          <w:sz w:val="17"/>
        </w:rPr>
        <w:t xml:space="preserve">      3:45</w:t>
      </w:r>
    </w:p>
    <w:p>
      <w:pPr>
        <w:spacing w:after="60" w:before="0"/>
        <w:ind w:left="400"/>
      </w:pPr>
      <w:r>
        <w:rPr>
          <w:rFonts w:ascii="Calibri" w:hAnsi="Calibri"/>
          <w:b w:val="0"/>
          <w:i w:val="0"/>
          <w:color w:val="56607A"/>
          <w:sz w:val="19"/>
        </w:rPr>
        <w:t>Show the four engines and the Stated limitations panel.</w:t>
      </w:r>
    </w:p>
    <w:p>
      <w:pPr>
        <w:spacing w:after="120" w:before="0"/>
        <w:ind w:left="400"/>
        <w:pBdr>
          <w:left w:val="single" w:sz="8" w:space="6" w:color="E2E6EE"/>
        </w:pBdr>
      </w:pPr>
      <w:r>
        <w:rPr>
          <w:rFonts w:ascii="Calibri" w:hAnsi="Calibri"/>
          <w:b w:val="0"/>
          <w:i/>
          <w:color w:val="10151F"/>
          <w:sz w:val="19"/>
        </w:rPr>
        <w:t>"We document what the system cannot yet do, because an audit tool that overstates itself is worse than no audit tool."</w:t>
      </w:r>
    </w:p>
    <w:p>
      <w:r>
        <w:br w:type="page"/>
      </w:r>
    </w:p>
    <w:p>
      <w:pPr>
        <w:pStyle w:val="Heading1"/>
        <w:spacing w:before="360" w:after="120"/>
        <w:pBdr>
          <w:bottom w:val="single" w:sz="6" w:space="6" w:color="E2E6EE"/>
        </w:pBdr>
      </w:pPr>
      <w:r>
        <w:rPr>
          <w:rFonts w:ascii="Georgia" w:hAnsi="Georgia"/>
          <w:b/>
          <w:color w:val="0F2544"/>
          <w:sz w:val="32"/>
        </w:rPr>
        <w:t>4.  Numbers to know cold</w:t>
      </w:r>
    </w:p>
    <w:tbl>
      <w:tblPr>
        <w:tblStyle w:val="TableGrid"/>
        <w:tblW w:type="auto" w:w="0"/>
        <w:tblLook w:firstColumn="1" w:firstRow="1" w:lastColumn="0" w:lastRow="0" w:noHBand="0" w:noVBand="1" w:val="04A0"/>
      </w:tblPr>
      <w:tblGrid>
        <w:gridCol w:w="4759"/>
        <w:gridCol w:w="4759"/>
      </w:tblGrid>
      <w:tr>
        <w:tc>
          <w:tcPr>
            <w:tcW w:type="dxa" w:w="3402"/>
          </w:tcPr>
          <w:p>
            <w:pPr>
              <w:spacing w:after="40" w:before="40"/>
            </w:pPr>
            <w:r/>
            <w:r>
              <w:rPr>
                <w:rFonts w:ascii="Calibri" w:hAnsi="Calibri"/>
                <w:b/>
                <w:color w:val="FFFFFF"/>
                <w:sz w:val="17"/>
              </w:rPr>
              <w:t>Figure</w:t>
            </w:r>
          </w:p>
        </w:tc>
        <w:tc>
          <w:tcPr>
            <w:tcW w:type="dxa" w:w="5329"/>
          </w:tcPr>
          <w:p>
            <w:pPr>
              <w:spacing w:after="40" w:before="40"/>
            </w:pPr>
            <w:r/>
            <w:r>
              <w:rPr>
                <w:rFonts w:ascii="Calibri" w:hAnsi="Calibri"/>
                <w:b/>
                <w:color w:val="FFFFFF"/>
                <w:sz w:val="17"/>
              </w:rPr>
              <w:t>Value</w:t>
            </w:r>
          </w:p>
        </w:tc>
      </w:tr>
      <w:tr>
        <w:tc>
          <w:tcPr>
            <w:tcW w:type="dxa" w:w="3402"/>
          </w:tcPr>
          <w:p>
            <w:pPr>
              <w:spacing w:after="40" w:before="40" w:line="264" w:lineRule="auto"/>
            </w:pPr>
            <w:r/>
            <w:r>
              <w:rPr>
                <w:rFonts w:ascii="Calibri" w:hAnsi="Calibri"/>
                <w:b w:val="0"/>
                <w:i w:val="0"/>
                <w:color w:val="10151F"/>
                <w:sz w:val="18"/>
              </w:rPr>
              <w:t>Confirmed findings</w:t>
            </w:r>
          </w:p>
        </w:tc>
        <w:tc>
          <w:tcPr>
            <w:tcW w:type="dxa" w:w="5329"/>
          </w:tcPr>
          <w:p>
            <w:pPr>
              <w:spacing w:after="40" w:before="40" w:line="264" w:lineRule="auto"/>
            </w:pPr>
            <w:r/>
            <w:r>
              <w:rPr>
                <w:rFonts w:ascii="Calibri" w:hAnsi="Calibri"/>
                <w:b w:val="0"/>
                <w:i w:val="0"/>
                <w:color w:val="10151F"/>
                <w:sz w:val="18"/>
              </w:rPr>
              <w:t>6  (2 critical, 4 high)</w:t>
            </w:r>
          </w:p>
        </w:tc>
      </w:tr>
      <w:tr>
        <w:tc>
          <w:tcPr>
            <w:tcW w:type="dxa" w:w="3402"/>
          </w:tcPr>
          <w:p>
            <w:pPr>
              <w:spacing w:after="40" w:before="40" w:line="264" w:lineRule="auto"/>
            </w:pPr>
            <w:r/>
            <w:r>
              <w:rPr>
                <w:rFonts w:ascii="Calibri" w:hAnsi="Calibri"/>
                <w:b w:val="0"/>
                <w:i w:val="0"/>
                <w:color w:val="10151F"/>
                <w:sz w:val="18"/>
              </w:rPr>
              <w:t>Advisory notices</w:t>
            </w:r>
          </w:p>
        </w:tc>
        <w:tc>
          <w:tcPr>
            <w:tcW w:type="dxa" w:w="5329"/>
          </w:tcPr>
          <w:p>
            <w:pPr>
              <w:spacing w:after="40" w:before="40" w:line="264" w:lineRule="auto"/>
            </w:pPr>
            <w:r/>
            <w:r>
              <w:rPr>
                <w:rFonts w:ascii="Calibri" w:hAnsi="Calibri"/>
                <w:b w:val="0"/>
                <w:i w:val="0"/>
                <w:color w:val="10151F"/>
                <w:sz w:val="18"/>
              </w:rPr>
              <w:t>542  (unspent-balance tier)</w:t>
            </w:r>
          </w:p>
        </w:tc>
      </w:tr>
      <w:tr>
        <w:tc>
          <w:tcPr>
            <w:tcW w:type="dxa" w:w="3402"/>
          </w:tcPr>
          <w:p>
            <w:pPr>
              <w:spacing w:after="40" w:before="40" w:line="264" w:lineRule="auto"/>
            </w:pPr>
            <w:r/>
            <w:r>
              <w:rPr>
                <w:rFonts w:ascii="Calibri" w:hAnsi="Calibri"/>
                <w:b w:val="0"/>
                <w:i w:val="0"/>
                <w:color w:val="10151F"/>
                <w:sz w:val="18"/>
              </w:rPr>
              <w:t>Sanctioned value at risk</w:t>
            </w:r>
          </w:p>
        </w:tc>
        <w:tc>
          <w:tcPr>
            <w:tcW w:type="dxa" w:w="5329"/>
          </w:tcPr>
          <w:p>
            <w:pPr>
              <w:spacing w:after="40" w:before="40" w:line="264" w:lineRule="auto"/>
            </w:pPr>
            <w:r/>
            <w:r>
              <w:rPr>
                <w:rFonts w:ascii="Calibri" w:hAnsi="Calibri"/>
                <w:b w:val="0"/>
                <w:i w:val="0"/>
                <w:color w:val="10151F"/>
                <w:sz w:val="18"/>
              </w:rPr>
              <w:t>₹150.15 lakh</w:t>
            </w:r>
          </w:p>
        </w:tc>
      </w:tr>
      <w:tr>
        <w:tc>
          <w:tcPr>
            <w:tcW w:type="dxa" w:w="3402"/>
          </w:tcPr>
          <w:p>
            <w:pPr>
              <w:spacing w:after="40" w:before="40" w:line="264" w:lineRule="auto"/>
            </w:pPr>
            <w:r/>
            <w:r>
              <w:rPr>
                <w:rFonts w:ascii="Calibri" w:hAnsi="Calibri"/>
                <w:b w:val="0"/>
                <w:i w:val="0"/>
                <w:color w:val="10151F"/>
                <w:sz w:val="18"/>
              </w:rPr>
              <w:t>Largest single overcharge</w:t>
            </w:r>
          </w:p>
        </w:tc>
        <w:tc>
          <w:tcPr>
            <w:tcW w:type="dxa" w:w="5329"/>
          </w:tcPr>
          <w:p>
            <w:pPr>
              <w:spacing w:after="40" w:before="40" w:line="264" w:lineRule="auto"/>
            </w:pPr>
            <w:r/>
            <w:r>
              <w:rPr>
                <w:rFonts w:ascii="Calibri" w:hAnsi="Calibri"/>
                <w:b w:val="0"/>
                <w:i w:val="0"/>
                <w:color w:val="10151F"/>
                <w:sz w:val="18"/>
              </w:rPr>
              <w:t>₹37.50 lakh above ceiling (Jaipur Rural)</w:t>
            </w:r>
          </w:p>
        </w:tc>
      </w:tr>
      <w:tr>
        <w:tc>
          <w:tcPr>
            <w:tcW w:type="dxa" w:w="3402"/>
          </w:tcPr>
          <w:p>
            <w:pPr>
              <w:spacing w:after="40" w:before="40" w:line="264" w:lineRule="auto"/>
            </w:pPr>
            <w:r/>
            <w:r>
              <w:rPr>
                <w:rFonts w:ascii="Calibri" w:hAnsi="Calibri"/>
                <w:b w:val="0"/>
                <w:i w:val="0"/>
                <w:color w:val="10151F"/>
                <w:sz w:val="18"/>
              </w:rPr>
              <w:t>Constituencies ingested</w:t>
            </w:r>
          </w:p>
        </w:tc>
        <w:tc>
          <w:tcPr>
            <w:tcW w:type="dxa" w:w="5329"/>
          </w:tcPr>
          <w:p>
            <w:pPr>
              <w:spacing w:after="40" w:before="40" w:line="264" w:lineRule="auto"/>
            </w:pPr>
            <w:r/>
            <w:r>
              <w:rPr>
                <w:rFonts w:ascii="Calibri" w:hAnsi="Calibri"/>
                <w:b w:val="0"/>
                <w:i w:val="0"/>
                <w:color w:val="10151F"/>
                <w:sz w:val="18"/>
              </w:rPr>
              <w:t>543  (real MoSPI dataset)</w:t>
            </w:r>
          </w:p>
        </w:tc>
      </w:tr>
      <w:tr>
        <w:tc>
          <w:tcPr>
            <w:tcW w:type="dxa" w:w="3402"/>
          </w:tcPr>
          <w:p>
            <w:pPr>
              <w:spacing w:after="40" w:before="40" w:line="264" w:lineRule="auto"/>
            </w:pPr>
            <w:r/>
            <w:r>
              <w:rPr>
                <w:rFonts w:ascii="Calibri" w:hAnsi="Calibri"/>
                <w:b w:val="0"/>
                <w:i w:val="0"/>
                <w:color w:val="10151F"/>
                <w:sz w:val="18"/>
              </w:rPr>
              <w:t>Total allocation tracked</w:t>
            </w:r>
          </w:p>
        </w:tc>
        <w:tc>
          <w:tcPr>
            <w:tcW w:type="dxa" w:w="5329"/>
          </w:tcPr>
          <w:p>
            <w:pPr>
              <w:spacing w:after="40" w:before="40" w:line="264" w:lineRule="auto"/>
            </w:pPr>
            <w:r/>
            <w:r>
              <w:rPr>
                <w:rFonts w:ascii="Calibri" w:hAnsi="Calibri"/>
                <w:b w:val="0"/>
                <w:i w:val="0"/>
                <w:color w:val="10151F"/>
                <w:sz w:val="18"/>
              </w:rPr>
              <w:t>₹8,332.82 crore</w:t>
            </w:r>
          </w:p>
        </w:tc>
      </w:tr>
      <w:tr>
        <w:tc>
          <w:tcPr>
            <w:tcW w:type="dxa" w:w="3402"/>
          </w:tcPr>
          <w:p>
            <w:pPr>
              <w:spacing w:after="40" w:before="40" w:line="264" w:lineRule="auto"/>
            </w:pPr>
            <w:r/>
            <w:r>
              <w:rPr>
                <w:rFonts w:ascii="Calibri" w:hAnsi="Calibri"/>
                <w:b w:val="0"/>
                <w:i w:val="0"/>
                <w:color w:val="10151F"/>
                <w:sz w:val="18"/>
              </w:rPr>
              <w:t>Works audited</w:t>
            </w:r>
          </w:p>
        </w:tc>
        <w:tc>
          <w:tcPr>
            <w:tcW w:type="dxa" w:w="5329"/>
          </w:tcPr>
          <w:p>
            <w:pPr>
              <w:spacing w:after="40" w:before="40" w:line="264" w:lineRule="auto"/>
            </w:pPr>
            <w:r/>
            <w:r>
              <w:rPr>
                <w:rFonts w:ascii="Calibri" w:hAnsi="Calibri"/>
                <w:b w:val="0"/>
                <w:i w:val="0"/>
                <w:color w:val="10151F"/>
                <w:sz w:val="18"/>
              </w:rPr>
              <w:t>14  (synthetic demo fixtures)</w:t>
            </w:r>
          </w:p>
        </w:tc>
      </w:tr>
      <w:tr>
        <w:tc>
          <w:tcPr>
            <w:tcW w:type="dxa" w:w="3402"/>
          </w:tcPr>
          <w:p>
            <w:pPr>
              <w:spacing w:after="40" w:before="40" w:line="264" w:lineRule="auto"/>
            </w:pPr>
            <w:r/>
            <w:r>
              <w:rPr>
                <w:rFonts w:ascii="Calibri" w:hAnsi="Calibri"/>
                <w:b w:val="0"/>
                <w:i w:val="0"/>
                <w:color w:val="10151F"/>
                <w:sz w:val="18"/>
              </w:rPr>
              <w:t>Full audit runtime</w:t>
            </w:r>
          </w:p>
        </w:tc>
        <w:tc>
          <w:tcPr>
            <w:tcW w:type="dxa" w:w="5329"/>
          </w:tcPr>
          <w:p>
            <w:pPr>
              <w:spacing w:after="40" w:before="40" w:line="264" w:lineRule="auto"/>
            </w:pPr>
            <w:r/>
            <w:r>
              <w:rPr>
                <w:rFonts w:ascii="Calibri" w:hAnsi="Calibri"/>
                <w:b w:val="0"/>
                <w:i w:val="0"/>
                <w:color w:val="10151F"/>
                <w:sz w:val="18"/>
              </w:rPr>
              <w:t>~110 milliseconds</w:t>
            </w:r>
          </w:p>
        </w:tc>
      </w:tr>
    </w:tbl>
    <w:p>
      <w:pPr>
        <w:spacing w:after="40"/>
      </w:pPr>
    </w:p>
    <w:p>
      <w:pPr>
        <w:pStyle w:val="Heading3"/>
        <w:spacing w:before="260" w:after="120"/>
      </w:pPr>
      <w:r>
        <w:rPr>
          <w:rFonts w:ascii="Calibri" w:hAnsi="Calibri"/>
          <w:b/>
          <w:color w:val="10151F"/>
          <w:sz w:val="23"/>
        </w:rPr>
        <w:t>Database contents</w:t>
      </w:r>
    </w:p>
    <w:tbl>
      <w:tblPr>
        <w:tblStyle w:val="TableGrid"/>
        <w:tblW w:type="auto" w:w="0"/>
        <w:tblLook w:firstColumn="1" w:firstRow="1" w:lastColumn="0" w:lastRow="0" w:noHBand="0" w:noVBand="1" w:val="04A0"/>
      </w:tblPr>
      <w:tblGrid>
        <w:gridCol w:w="3173"/>
        <w:gridCol w:w="3173"/>
        <w:gridCol w:w="3173"/>
      </w:tblGrid>
      <w:tr>
        <w:tc>
          <w:tcPr>
            <w:tcW w:type="dxa" w:w="2494"/>
          </w:tcPr>
          <w:p>
            <w:pPr>
              <w:spacing w:after="40" w:before="40"/>
            </w:pPr>
            <w:r/>
            <w:r>
              <w:rPr>
                <w:rFonts w:ascii="Calibri" w:hAnsi="Calibri"/>
                <w:b/>
                <w:color w:val="FFFFFF"/>
                <w:sz w:val="17"/>
              </w:rPr>
              <w:t>Table</w:t>
            </w:r>
          </w:p>
        </w:tc>
        <w:tc>
          <w:tcPr>
            <w:tcW w:type="dxa" w:w="1020"/>
          </w:tcPr>
          <w:p>
            <w:pPr>
              <w:spacing w:after="40" w:before="40"/>
            </w:pPr>
            <w:r/>
            <w:r>
              <w:rPr>
                <w:rFonts w:ascii="Calibri" w:hAnsi="Calibri"/>
                <w:b/>
                <w:color w:val="FFFFFF"/>
                <w:sz w:val="17"/>
              </w:rPr>
              <w:t>Rows</w:t>
            </w:r>
          </w:p>
        </w:tc>
        <w:tc>
          <w:tcPr>
            <w:tcW w:type="dxa" w:w="5216"/>
          </w:tcPr>
          <w:p>
            <w:pPr>
              <w:spacing w:after="40" w:before="40"/>
            </w:pPr>
            <w:r/>
            <w:r>
              <w:rPr>
                <w:rFonts w:ascii="Calibri" w:hAnsi="Calibri"/>
                <w:b/>
                <w:color w:val="FFFFFF"/>
                <w:sz w:val="17"/>
              </w:rPr>
              <w:t>Source</w:t>
            </w:r>
          </w:p>
        </w:tc>
      </w:tr>
      <w:tr>
        <w:tc>
          <w:tcPr>
            <w:tcW w:type="dxa" w:w="2494"/>
          </w:tcPr>
          <w:p>
            <w:pPr>
              <w:spacing w:after="40" w:before="40" w:line="264" w:lineRule="auto"/>
            </w:pPr>
            <w:r/>
            <w:r>
              <w:rPr>
                <w:rFonts w:ascii="Calibri" w:hAnsi="Calibri"/>
                <w:b w:val="0"/>
                <w:i w:val="0"/>
                <w:color w:val="10151F"/>
                <w:sz w:val="18"/>
              </w:rPr>
              <w:t>constituencies</w:t>
            </w:r>
          </w:p>
        </w:tc>
        <w:tc>
          <w:tcPr>
            <w:tcW w:type="dxa" w:w="1020"/>
          </w:tcPr>
          <w:p>
            <w:pPr>
              <w:spacing w:after="40" w:before="40" w:line="264" w:lineRule="auto"/>
            </w:pPr>
            <w:r/>
            <w:r>
              <w:rPr>
                <w:rFonts w:ascii="Calibri" w:hAnsi="Calibri"/>
                <w:b w:val="0"/>
                <w:i w:val="0"/>
                <w:color w:val="10151F"/>
                <w:sz w:val="18"/>
              </w:rPr>
              <w:t>543</w:t>
            </w:r>
          </w:p>
        </w:tc>
        <w:tc>
          <w:tcPr>
            <w:tcW w:type="dxa" w:w="5216"/>
          </w:tcPr>
          <w:p>
            <w:pPr>
              <w:spacing w:after="40" w:before="40" w:line="264" w:lineRule="auto"/>
            </w:pPr>
            <w:r/>
            <w:r>
              <w:rPr>
                <w:rFonts w:ascii="Calibri" w:hAnsi="Calibri"/>
                <w:b w:val="0"/>
                <w:i w:val="0"/>
                <w:color w:val="10151F"/>
                <w:sz w:val="18"/>
              </w:rPr>
              <w:t>REAL — official MoSPI dataset</w:t>
            </w:r>
          </w:p>
        </w:tc>
      </w:tr>
      <w:tr>
        <w:tc>
          <w:tcPr>
            <w:tcW w:type="dxa" w:w="2494"/>
          </w:tcPr>
          <w:p>
            <w:pPr>
              <w:spacing w:after="40" w:before="40" w:line="264" w:lineRule="auto"/>
            </w:pPr>
            <w:r/>
            <w:r>
              <w:rPr>
                <w:rFonts w:ascii="Calibri" w:hAnsi="Calibri"/>
                <w:b w:val="0"/>
                <w:i w:val="0"/>
                <w:color w:val="10151F"/>
                <w:sz w:val="18"/>
              </w:rPr>
              <w:t>mps</w:t>
            </w:r>
          </w:p>
        </w:tc>
        <w:tc>
          <w:tcPr>
            <w:tcW w:type="dxa" w:w="1020"/>
          </w:tcPr>
          <w:p>
            <w:pPr>
              <w:spacing w:after="40" w:before="40" w:line="264" w:lineRule="auto"/>
            </w:pPr>
            <w:r/>
            <w:r>
              <w:rPr>
                <w:rFonts w:ascii="Calibri" w:hAnsi="Calibri"/>
                <w:b w:val="0"/>
                <w:i w:val="0"/>
                <w:color w:val="10151F"/>
                <w:sz w:val="18"/>
              </w:rPr>
              <w:t>543</w:t>
            </w:r>
          </w:p>
        </w:tc>
        <w:tc>
          <w:tcPr>
            <w:tcW w:type="dxa" w:w="5216"/>
          </w:tcPr>
          <w:p>
            <w:pPr>
              <w:spacing w:after="40" w:before="40" w:line="264" w:lineRule="auto"/>
            </w:pPr>
            <w:r/>
            <w:r>
              <w:rPr>
                <w:rFonts w:ascii="Calibri" w:hAnsi="Calibri"/>
                <w:b w:val="0"/>
                <w:i w:val="0"/>
                <w:color w:val="10151F"/>
                <w:sz w:val="18"/>
              </w:rPr>
              <w:t>REAL — official MoSPI dataset</w:t>
            </w:r>
          </w:p>
        </w:tc>
      </w:tr>
      <w:tr>
        <w:tc>
          <w:tcPr>
            <w:tcW w:type="dxa" w:w="2494"/>
          </w:tcPr>
          <w:p>
            <w:pPr>
              <w:spacing w:after="40" w:before="40" w:line="264" w:lineRule="auto"/>
            </w:pPr>
            <w:r/>
            <w:r>
              <w:rPr>
                <w:rFonts w:ascii="Calibri" w:hAnsi="Calibri"/>
                <w:b w:val="0"/>
                <w:i w:val="0"/>
                <w:color w:val="10151F"/>
                <w:sz w:val="18"/>
              </w:rPr>
              <w:t>works</w:t>
            </w:r>
          </w:p>
        </w:tc>
        <w:tc>
          <w:tcPr>
            <w:tcW w:type="dxa" w:w="1020"/>
          </w:tcPr>
          <w:p>
            <w:pPr>
              <w:spacing w:after="40" w:before="40" w:line="264" w:lineRule="auto"/>
            </w:pPr>
            <w:r/>
            <w:r>
              <w:rPr>
                <w:rFonts w:ascii="Calibri" w:hAnsi="Calibri"/>
                <w:b w:val="0"/>
                <w:i w:val="0"/>
                <w:color w:val="10151F"/>
                <w:sz w:val="18"/>
              </w:rPr>
              <w:t>14</w:t>
            </w:r>
          </w:p>
        </w:tc>
        <w:tc>
          <w:tcPr>
            <w:tcW w:type="dxa" w:w="5216"/>
          </w:tcPr>
          <w:p>
            <w:pPr>
              <w:spacing w:after="40" w:before="40" w:line="264" w:lineRule="auto"/>
            </w:pPr>
            <w:r/>
            <w:r>
              <w:rPr>
                <w:rFonts w:ascii="Calibri" w:hAnsi="Calibri"/>
                <w:b w:val="0"/>
                <w:i w:val="0"/>
                <w:color w:val="10151F"/>
                <w:sz w:val="18"/>
              </w:rPr>
              <w:t>Synthetic — demo fixtures</w:t>
            </w:r>
          </w:p>
        </w:tc>
      </w:tr>
      <w:tr>
        <w:tc>
          <w:tcPr>
            <w:tcW w:type="dxa" w:w="2494"/>
          </w:tcPr>
          <w:p>
            <w:pPr>
              <w:spacing w:after="40" w:before="40" w:line="264" w:lineRule="auto"/>
            </w:pPr>
            <w:r/>
            <w:r>
              <w:rPr>
                <w:rFonts w:ascii="Calibri" w:hAnsi="Calibri"/>
                <w:b w:val="0"/>
                <w:i w:val="0"/>
                <w:color w:val="10151F"/>
                <w:sz w:val="18"/>
              </w:rPr>
              <w:t>contractors</w:t>
            </w:r>
          </w:p>
        </w:tc>
        <w:tc>
          <w:tcPr>
            <w:tcW w:type="dxa" w:w="1020"/>
          </w:tcPr>
          <w:p>
            <w:pPr>
              <w:spacing w:after="40" w:before="40" w:line="264" w:lineRule="auto"/>
            </w:pPr>
            <w:r/>
            <w:r>
              <w:rPr>
                <w:rFonts w:ascii="Calibri" w:hAnsi="Calibri"/>
                <w:b w:val="0"/>
                <w:i w:val="0"/>
                <w:color w:val="10151F"/>
                <w:sz w:val="18"/>
              </w:rPr>
              <w:t>9</w:t>
            </w:r>
          </w:p>
        </w:tc>
        <w:tc>
          <w:tcPr>
            <w:tcW w:type="dxa" w:w="5216"/>
          </w:tcPr>
          <w:p>
            <w:pPr>
              <w:spacing w:after="40" w:before="40" w:line="264" w:lineRule="auto"/>
            </w:pPr>
            <w:r/>
            <w:r>
              <w:rPr>
                <w:rFonts w:ascii="Calibri" w:hAnsi="Calibri"/>
                <w:b w:val="0"/>
                <w:i w:val="0"/>
                <w:color w:val="10151F"/>
                <w:sz w:val="18"/>
              </w:rPr>
              <w:t>Synthetic — demo fixtures</w:t>
            </w:r>
          </w:p>
        </w:tc>
      </w:tr>
      <w:tr>
        <w:tc>
          <w:tcPr>
            <w:tcW w:type="dxa" w:w="2494"/>
          </w:tcPr>
          <w:p>
            <w:pPr>
              <w:spacing w:after="40" w:before="40" w:line="264" w:lineRule="auto"/>
            </w:pPr>
            <w:r/>
            <w:r>
              <w:rPr>
                <w:rFonts w:ascii="Calibri" w:hAnsi="Calibri"/>
                <w:b w:val="0"/>
                <w:i w:val="0"/>
                <w:color w:val="10151F"/>
                <w:sz w:val="18"/>
              </w:rPr>
              <w:t>tenders</w:t>
            </w:r>
          </w:p>
        </w:tc>
        <w:tc>
          <w:tcPr>
            <w:tcW w:type="dxa" w:w="1020"/>
          </w:tcPr>
          <w:p>
            <w:pPr>
              <w:spacing w:after="40" w:before="40" w:line="264" w:lineRule="auto"/>
            </w:pPr>
            <w:r/>
            <w:r>
              <w:rPr>
                <w:rFonts w:ascii="Calibri" w:hAnsi="Calibri"/>
                <w:b w:val="0"/>
                <w:i w:val="0"/>
                <w:color w:val="10151F"/>
                <w:sz w:val="18"/>
              </w:rPr>
              <w:t>4</w:t>
            </w:r>
          </w:p>
        </w:tc>
        <w:tc>
          <w:tcPr>
            <w:tcW w:type="dxa" w:w="5216"/>
          </w:tcPr>
          <w:p>
            <w:pPr>
              <w:spacing w:after="40" w:before="40" w:line="264" w:lineRule="auto"/>
            </w:pPr>
            <w:r/>
            <w:r>
              <w:rPr>
                <w:rFonts w:ascii="Calibri" w:hAnsi="Calibri"/>
                <w:b w:val="0"/>
                <w:i w:val="0"/>
                <w:color w:val="10151F"/>
                <w:sz w:val="18"/>
              </w:rPr>
              <w:t>Synthetic — demo fixtures</w:t>
            </w:r>
          </w:p>
        </w:tc>
      </w:tr>
      <w:tr>
        <w:tc>
          <w:tcPr>
            <w:tcW w:type="dxa" w:w="2494"/>
          </w:tcPr>
          <w:p>
            <w:pPr>
              <w:spacing w:after="40" w:before="40" w:line="264" w:lineRule="auto"/>
            </w:pPr>
            <w:r/>
            <w:r>
              <w:rPr>
                <w:rFonts w:ascii="Calibri" w:hAnsi="Calibri"/>
                <w:b w:val="0"/>
                <w:i w:val="0"/>
                <w:color w:val="10151F"/>
                <w:sz w:val="18"/>
              </w:rPr>
              <w:t>bids</w:t>
            </w:r>
          </w:p>
        </w:tc>
        <w:tc>
          <w:tcPr>
            <w:tcW w:type="dxa" w:w="1020"/>
          </w:tcPr>
          <w:p>
            <w:pPr>
              <w:spacing w:after="40" w:before="40" w:line="264" w:lineRule="auto"/>
            </w:pPr>
            <w:r/>
            <w:r>
              <w:rPr>
                <w:rFonts w:ascii="Calibri" w:hAnsi="Calibri"/>
                <w:b w:val="0"/>
                <w:i w:val="0"/>
                <w:color w:val="10151F"/>
                <w:sz w:val="18"/>
              </w:rPr>
              <w:t>10</w:t>
            </w:r>
          </w:p>
        </w:tc>
        <w:tc>
          <w:tcPr>
            <w:tcW w:type="dxa" w:w="5216"/>
          </w:tcPr>
          <w:p>
            <w:pPr>
              <w:spacing w:after="40" w:before="40" w:line="264" w:lineRule="auto"/>
            </w:pPr>
            <w:r/>
            <w:r>
              <w:rPr>
                <w:rFonts w:ascii="Calibri" w:hAnsi="Calibri"/>
                <w:b w:val="0"/>
                <w:i w:val="0"/>
                <w:color w:val="10151F"/>
                <w:sz w:val="18"/>
              </w:rPr>
              <w:t>Synthetic — demo fixtures</w:t>
            </w:r>
          </w:p>
        </w:tc>
      </w:tr>
      <w:tr>
        <w:tc>
          <w:tcPr>
            <w:tcW w:type="dxa" w:w="2494"/>
          </w:tcPr>
          <w:p>
            <w:pPr>
              <w:spacing w:after="40" w:before="40" w:line="264" w:lineRule="auto"/>
            </w:pPr>
            <w:r/>
            <w:r>
              <w:rPr>
                <w:rFonts w:ascii="Calibri" w:hAnsi="Calibri"/>
                <w:b w:val="0"/>
                <w:i w:val="0"/>
                <w:color w:val="10151F"/>
                <w:sz w:val="18"/>
              </w:rPr>
              <w:t>pwd_benchmarks</w:t>
            </w:r>
          </w:p>
        </w:tc>
        <w:tc>
          <w:tcPr>
            <w:tcW w:type="dxa" w:w="1020"/>
          </w:tcPr>
          <w:p>
            <w:pPr>
              <w:spacing w:after="40" w:before="40" w:line="264" w:lineRule="auto"/>
            </w:pPr>
            <w:r/>
            <w:r>
              <w:rPr>
                <w:rFonts w:ascii="Calibri" w:hAnsi="Calibri"/>
                <w:b w:val="0"/>
                <w:i w:val="0"/>
                <w:color w:val="10151F"/>
                <w:sz w:val="18"/>
              </w:rPr>
              <w:t>6</w:t>
            </w:r>
          </w:p>
        </w:tc>
        <w:tc>
          <w:tcPr>
            <w:tcW w:type="dxa" w:w="5216"/>
          </w:tcPr>
          <w:p>
            <w:pPr>
              <w:spacing w:after="40" w:before="40" w:line="264" w:lineRule="auto"/>
            </w:pPr>
            <w:r/>
            <w:r>
              <w:rPr>
                <w:rFonts w:ascii="Calibri" w:hAnsi="Calibri"/>
                <w:b w:val="0"/>
                <w:i w:val="0"/>
                <w:color w:val="10151F"/>
                <w:sz w:val="18"/>
              </w:rPr>
              <w:t>Modelled on published PWD rate schedules</w:t>
            </w:r>
          </w:p>
        </w:tc>
      </w:tr>
      <w:tr>
        <w:tc>
          <w:tcPr>
            <w:tcW w:type="dxa" w:w="2494"/>
          </w:tcPr>
          <w:p>
            <w:pPr>
              <w:spacing w:after="40" w:before="40" w:line="264" w:lineRule="auto"/>
            </w:pPr>
            <w:r/>
            <w:r>
              <w:rPr>
                <w:rFonts w:ascii="Calibri" w:hAnsi="Calibri"/>
                <w:b w:val="0"/>
                <w:i w:val="0"/>
                <w:color w:val="10151F"/>
                <w:sz w:val="18"/>
              </w:rPr>
              <w:t>anomalies</w:t>
            </w:r>
          </w:p>
        </w:tc>
        <w:tc>
          <w:tcPr>
            <w:tcW w:type="dxa" w:w="1020"/>
          </w:tcPr>
          <w:p>
            <w:pPr>
              <w:spacing w:after="40" w:before="40" w:line="264" w:lineRule="auto"/>
            </w:pPr>
            <w:r/>
            <w:r>
              <w:rPr>
                <w:rFonts w:ascii="Calibri" w:hAnsi="Calibri"/>
                <w:b w:val="0"/>
                <w:i w:val="0"/>
                <w:color w:val="10151F"/>
                <w:sz w:val="18"/>
              </w:rPr>
              <w:t>548</w:t>
            </w:r>
          </w:p>
        </w:tc>
        <w:tc>
          <w:tcPr>
            <w:tcW w:type="dxa" w:w="5216"/>
          </w:tcPr>
          <w:p>
            <w:pPr>
              <w:spacing w:after="40" w:before="40" w:line="264" w:lineRule="auto"/>
            </w:pPr>
            <w:r/>
            <w:r>
              <w:rPr>
                <w:rFonts w:ascii="Calibri" w:hAnsi="Calibri"/>
                <w:b w:val="0"/>
                <w:i w:val="0"/>
                <w:color w:val="10151F"/>
                <w:sz w:val="18"/>
              </w:rPr>
              <w:t>Generated — 6 confirmed, 542 advisory</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Be precise about which data is real</w:t>
            </w:r>
          </w:p>
          <w:p>
            <w:pPr>
              <w:spacing w:after="0" w:line="276" w:lineRule="auto"/>
            </w:pPr>
            <w:r>
              <w:rPr>
                <w:rFonts w:ascii="Calibri" w:hAnsi="Calibri"/>
                <w:b w:val="0"/>
                <w:i w:val="0"/>
                <w:color w:val="10151F"/>
                <w:sz w:val="19"/>
              </w:rPr>
              <w:t>The 543 constituencies, members and allocation amounts are the genuine published dataset. The 14 works are synthetic fixtures written to exercise the detectors. The code keeps them in separate modules (backend/ingest/ versus backend/seed/) precisely so the distinction is defensible.</w:t>
            </w:r>
          </w:p>
        </w:tc>
      </w:tr>
    </w:tbl>
    <w:p>
      <w:pPr>
        <w:spacing w:after="40"/>
      </w:pPr>
    </w:p>
    <w:p>
      <w:r>
        <w:br w:type="page"/>
      </w:r>
    </w:p>
    <w:p>
      <w:pPr>
        <w:pStyle w:val="Heading1"/>
        <w:spacing w:before="360" w:after="120"/>
        <w:pBdr>
          <w:bottom w:val="single" w:sz="6" w:space="6" w:color="E2E6EE"/>
        </w:pBdr>
      </w:pPr>
      <w:r>
        <w:rPr>
          <w:rFonts w:ascii="Georgia" w:hAnsi="Georgia"/>
          <w:b/>
          <w:color w:val="0F2544"/>
          <w:sz w:val="32"/>
        </w:rPr>
        <w:t>5.  Technology stack</w:t>
      </w:r>
    </w:p>
    <w:p>
      <w:pPr>
        <w:spacing w:after="120" w:before="0"/>
      </w:pPr>
      <w:r>
        <w:rPr>
          <w:rFonts w:ascii="Calibri" w:hAnsi="Calibri"/>
          <w:b w:val="0"/>
          <w:i/>
          <w:color w:val="56607A"/>
          <w:sz w:val="19"/>
        </w:rPr>
        <w:t>Exact versions from the machine the demo runs on.</w:t>
      </w:r>
    </w:p>
    <w:tbl>
      <w:tblPr>
        <w:tblStyle w:val="TableGrid"/>
        <w:tblW w:type="auto" w:w="0"/>
        <w:tblLook w:firstColumn="1" w:firstRow="1" w:lastColumn="0" w:lastRow="0" w:noHBand="0" w:noVBand="1" w:val="04A0"/>
      </w:tblPr>
      <w:tblGrid>
        <w:gridCol w:w="3173"/>
        <w:gridCol w:w="3173"/>
        <w:gridCol w:w="3173"/>
      </w:tblGrid>
      <w:tr>
        <w:tc>
          <w:tcPr>
            <w:tcW w:type="dxa" w:w="2041"/>
          </w:tcPr>
          <w:p>
            <w:pPr>
              <w:spacing w:after="40" w:before="40"/>
            </w:pPr>
            <w:r/>
            <w:r>
              <w:rPr>
                <w:rFonts w:ascii="Calibri" w:hAnsi="Calibri"/>
                <w:b/>
                <w:color w:val="FFFFFF"/>
                <w:sz w:val="17"/>
              </w:rPr>
              <w:t>Component</w:t>
            </w:r>
          </w:p>
        </w:tc>
        <w:tc>
          <w:tcPr>
            <w:tcW w:type="dxa" w:w="1361"/>
          </w:tcPr>
          <w:p>
            <w:pPr>
              <w:spacing w:after="40" w:before="40"/>
            </w:pPr>
            <w:r/>
            <w:r>
              <w:rPr>
                <w:rFonts w:ascii="Calibri" w:hAnsi="Calibri"/>
                <w:b/>
                <w:color w:val="FFFFFF"/>
                <w:sz w:val="17"/>
              </w:rPr>
              <w:t>Version</w:t>
            </w:r>
          </w:p>
        </w:tc>
        <w:tc>
          <w:tcPr>
            <w:tcW w:type="dxa" w:w="5329"/>
          </w:tcPr>
          <w:p>
            <w:pPr>
              <w:spacing w:after="40" w:before="40"/>
            </w:pPr>
            <w:r/>
            <w:r>
              <w:rPr>
                <w:rFonts w:ascii="Calibri" w:hAnsi="Calibri"/>
                <w:b/>
                <w:color w:val="FFFFFF"/>
                <w:sz w:val="17"/>
              </w:rPr>
              <w:t>Role in the project</w:t>
            </w:r>
          </w:p>
        </w:tc>
      </w:tr>
      <w:tr>
        <w:tc>
          <w:tcPr>
            <w:tcW w:type="dxa" w:w="2041"/>
          </w:tcPr>
          <w:p>
            <w:pPr>
              <w:spacing w:after="40" w:before="40" w:line="264" w:lineRule="auto"/>
            </w:pPr>
            <w:r/>
            <w:r>
              <w:rPr>
                <w:rFonts w:ascii="Calibri" w:hAnsi="Calibri"/>
                <w:b w:val="0"/>
                <w:i w:val="0"/>
                <w:color w:val="10151F"/>
                <w:sz w:val="18"/>
              </w:rPr>
              <w:t>Python</w:t>
            </w:r>
          </w:p>
        </w:tc>
        <w:tc>
          <w:tcPr>
            <w:tcW w:type="dxa" w:w="1361"/>
          </w:tcPr>
          <w:p>
            <w:pPr>
              <w:spacing w:after="40" w:before="40" w:line="264" w:lineRule="auto"/>
            </w:pPr>
            <w:r/>
            <w:r>
              <w:rPr>
                <w:rFonts w:ascii="Calibri" w:hAnsi="Calibri"/>
                <w:b w:val="0"/>
                <w:i w:val="0"/>
                <w:color w:val="10151F"/>
                <w:sz w:val="18"/>
              </w:rPr>
              <w:t>3.12.10</w:t>
            </w:r>
          </w:p>
        </w:tc>
        <w:tc>
          <w:tcPr>
            <w:tcW w:type="dxa" w:w="5329"/>
          </w:tcPr>
          <w:p>
            <w:pPr>
              <w:spacing w:after="40" w:before="40" w:line="264" w:lineRule="auto"/>
            </w:pPr>
            <w:r/>
            <w:r>
              <w:rPr>
                <w:rFonts w:ascii="Calibri" w:hAnsi="Calibri"/>
                <w:b w:val="0"/>
                <w:i w:val="0"/>
                <w:color w:val="10151F"/>
                <w:sz w:val="18"/>
              </w:rPr>
              <w:t>All backend logic and every detector</w:t>
            </w:r>
          </w:p>
        </w:tc>
      </w:tr>
      <w:tr>
        <w:tc>
          <w:tcPr>
            <w:tcW w:type="dxa" w:w="2041"/>
          </w:tcPr>
          <w:p>
            <w:pPr>
              <w:spacing w:after="40" w:before="40" w:line="264" w:lineRule="auto"/>
            </w:pPr>
            <w:r/>
            <w:r>
              <w:rPr>
                <w:rFonts w:ascii="Calibri" w:hAnsi="Calibri"/>
                <w:b w:val="0"/>
                <w:i w:val="0"/>
                <w:color w:val="10151F"/>
                <w:sz w:val="18"/>
              </w:rPr>
              <w:t>SQLite</w:t>
            </w:r>
          </w:p>
        </w:tc>
        <w:tc>
          <w:tcPr>
            <w:tcW w:type="dxa" w:w="1361"/>
          </w:tcPr>
          <w:p>
            <w:pPr>
              <w:spacing w:after="40" w:before="40" w:line="264" w:lineRule="auto"/>
            </w:pPr>
            <w:r/>
            <w:r>
              <w:rPr>
                <w:rFonts w:ascii="Calibri" w:hAnsi="Calibri"/>
                <w:b w:val="0"/>
                <w:i w:val="0"/>
                <w:color w:val="10151F"/>
                <w:sz w:val="18"/>
              </w:rPr>
              <w:t>3.49.1</w:t>
            </w:r>
          </w:p>
        </w:tc>
        <w:tc>
          <w:tcPr>
            <w:tcW w:type="dxa" w:w="5329"/>
          </w:tcPr>
          <w:p>
            <w:pPr>
              <w:spacing w:after="40" w:before="40" w:line="264" w:lineRule="auto"/>
            </w:pPr>
            <w:r/>
            <w:r>
              <w:rPr>
                <w:rFonts w:ascii="Calibri" w:hAnsi="Calibri"/>
                <w:b w:val="0"/>
                <w:i w:val="0"/>
                <w:color w:val="10151F"/>
                <w:sz w:val="18"/>
              </w:rPr>
              <w:t>Relational store; ships with Python, no server to install</w:t>
            </w:r>
          </w:p>
        </w:tc>
      </w:tr>
      <w:tr>
        <w:tc>
          <w:tcPr>
            <w:tcW w:type="dxa" w:w="2041"/>
          </w:tcPr>
          <w:p>
            <w:pPr>
              <w:spacing w:after="40" w:before="40" w:line="264" w:lineRule="auto"/>
            </w:pPr>
            <w:r/>
            <w:r>
              <w:rPr>
                <w:rFonts w:ascii="Calibri" w:hAnsi="Calibri"/>
                <w:b w:val="0"/>
                <w:i w:val="0"/>
                <w:color w:val="10151F"/>
                <w:sz w:val="18"/>
              </w:rPr>
              <w:t>FastAPI</w:t>
            </w:r>
          </w:p>
        </w:tc>
        <w:tc>
          <w:tcPr>
            <w:tcW w:type="dxa" w:w="1361"/>
          </w:tcPr>
          <w:p>
            <w:pPr>
              <w:spacing w:after="40" w:before="40" w:line="264" w:lineRule="auto"/>
            </w:pPr>
            <w:r/>
            <w:r>
              <w:rPr>
                <w:rFonts w:ascii="Calibri" w:hAnsi="Calibri"/>
                <w:b w:val="0"/>
                <w:i w:val="0"/>
                <w:color w:val="10151F"/>
                <w:sz w:val="18"/>
              </w:rPr>
              <w:t>0.141.1</w:t>
            </w:r>
          </w:p>
        </w:tc>
        <w:tc>
          <w:tcPr>
            <w:tcW w:type="dxa" w:w="5329"/>
          </w:tcPr>
          <w:p>
            <w:pPr>
              <w:spacing w:after="40" w:before="40" w:line="264" w:lineRule="auto"/>
            </w:pPr>
            <w:r/>
            <w:r>
              <w:rPr>
                <w:rFonts w:ascii="Calibri" w:hAnsi="Calibri"/>
                <w:b w:val="0"/>
                <w:i w:val="0"/>
                <w:color w:val="10151F"/>
                <w:sz w:val="18"/>
              </w:rPr>
              <w:t>REST API layer; auto-generates OpenAPI docs at /docs</w:t>
            </w:r>
          </w:p>
        </w:tc>
      </w:tr>
      <w:tr>
        <w:tc>
          <w:tcPr>
            <w:tcW w:type="dxa" w:w="2041"/>
          </w:tcPr>
          <w:p>
            <w:pPr>
              <w:spacing w:after="40" w:before="40" w:line="264" w:lineRule="auto"/>
            </w:pPr>
            <w:r/>
            <w:r>
              <w:rPr>
                <w:rFonts w:ascii="Calibri" w:hAnsi="Calibri"/>
                <w:b w:val="0"/>
                <w:i w:val="0"/>
                <w:color w:val="10151F"/>
                <w:sz w:val="18"/>
              </w:rPr>
              <w:t>Uvicorn</w:t>
            </w:r>
          </w:p>
        </w:tc>
        <w:tc>
          <w:tcPr>
            <w:tcW w:type="dxa" w:w="1361"/>
          </w:tcPr>
          <w:p>
            <w:pPr>
              <w:spacing w:after="40" w:before="40" w:line="264" w:lineRule="auto"/>
            </w:pPr>
            <w:r/>
            <w:r>
              <w:rPr>
                <w:rFonts w:ascii="Calibri" w:hAnsi="Calibri"/>
                <w:b w:val="0"/>
                <w:i w:val="0"/>
                <w:color w:val="10151F"/>
                <w:sz w:val="18"/>
              </w:rPr>
              <w:t>0.52.4</w:t>
            </w:r>
          </w:p>
        </w:tc>
        <w:tc>
          <w:tcPr>
            <w:tcW w:type="dxa" w:w="5329"/>
          </w:tcPr>
          <w:p>
            <w:pPr>
              <w:spacing w:after="40" w:before="40" w:line="264" w:lineRule="auto"/>
            </w:pPr>
            <w:r/>
            <w:r>
              <w:rPr>
                <w:rFonts w:ascii="Calibri" w:hAnsi="Calibri"/>
                <w:b w:val="0"/>
                <w:i w:val="0"/>
                <w:color w:val="10151F"/>
                <w:sz w:val="18"/>
              </w:rPr>
              <w:t>ASGI server that runs the FastAPI application</w:t>
            </w:r>
          </w:p>
        </w:tc>
      </w:tr>
      <w:tr>
        <w:tc>
          <w:tcPr>
            <w:tcW w:type="dxa" w:w="2041"/>
          </w:tcPr>
          <w:p>
            <w:pPr>
              <w:spacing w:after="40" w:before="40" w:line="264" w:lineRule="auto"/>
            </w:pPr>
            <w:r/>
            <w:r>
              <w:rPr>
                <w:rFonts w:ascii="Calibri" w:hAnsi="Calibri"/>
                <w:b w:val="0"/>
                <w:i w:val="0"/>
                <w:color w:val="10151F"/>
                <w:sz w:val="18"/>
              </w:rPr>
              <w:t>NetworkX</w:t>
            </w:r>
          </w:p>
        </w:tc>
        <w:tc>
          <w:tcPr>
            <w:tcW w:type="dxa" w:w="1361"/>
          </w:tcPr>
          <w:p>
            <w:pPr>
              <w:spacing w:after="40" w:before="40" w:line="264" w:lineRule="auto"/>
            </w:pPr>
            <w:r/>
            <w:r>
              <w:rPr>
                <w:rFonts w:ascii="Calibri" w:hAnsi="Calibri"/>
                <w:b w:val="0"/>
                <w:i w:val="0"/>
                <w:color w:val="10151F"/>
                <w:sz w:val="18"/>
              </w:rPr>
              <w:t>3.6.1</w:t>
            </w:r>
          </w:p>
        </w:tc>
        <w:tc>
          <w:tcPr>
            <w:tcW w:type="dxa" w:w="5329"/>
          </w:tcPr>
          <w:p>
            <w:pPr>
              <w:spacing w:after="40" w:before="40" w:line="264" w:lineRule="auto"/>
            </w:pPr>
            <w:r/>
            <w:r>
              <w:rPr>
                <w:rFonts w:ascii="Calibri" w:hAnsi="Calibri"/>
                <w:b w:val="0"/>
                <w:i w:val="0"/>
                <w:color w:val="10151F"/>
                <w:sz w:val="18"/>
              </w:rPr>
              <w:t>Bipartite co-bidding graph for cartel detection</w:t>
            </w:r>
          </w:p>
        </w:tc>
      </w:tr>
      <w:tr>
        <w:tc>
          <w:tcPr>
            <w:tcW w:type="dxa" w:w="2041"/>
          </w:tcPr>
          <w:p>
            <w:pPr>
              <w:spacing w:after="40" w:before="40" w:line="264" w:lineRule="auto"/>
            </w:pPr>
            <w:r/>
            <w:r>
              <w:rPr>
                <w:rFonts w:ascii="Calibri" w:hAnsi="Calibri"/>
                <w:b w:val="0"/>
                <w:i w:val="0"/>
                <w:color w:val="10151F"/>
                <w:sz w:val="18"/>
              </w:rPr>
              <w:t>Leaflet</w:t>
            </w:r>
          </w:p>
        </w:tc>
        <w:tc>
          <w:tcPr>
            <w:tcW w:type="dxa" w:w="1361"/>
          </w:tcPr>
          <w:p>
            <w:pPr>
              <w:spacing w:after="40" w:before="40" w:line="264" w:lineRule="auto"/>
            </w:pPr>
            <w:r/>
            <w:r>
              <w:rPr>
                <w:rFonts w:ascii="Calibri" w:hAnsi="Calibri"/>
                <w:b w:val="0"/>
                <w:i w:val="0"/>
                <w:color w:val="10151F"/>
                <w:sz w:val="18"/>
              </w:rPr>
              <w:t>1.9.4</w:t>
            </w:r>
          </w:p>
        </w:tc>
        <w:tc>
          <w:tcPr>
            <w:tcW w:type="dxa" w:w="5329"/>
          </w:tcPr>
          <w:p>
            <w:pPr>
              <w:spacing w:after="40" w:before="40" w:line="264" w:lineRule="auto"/>
            </w:pPr>
            <w:r/>
            <w:r>
              <w:rPr>
                <w:rFonts w:ascii="Calibri" w:hAnsi="Calibri"/>
                <w:b w:val="0"/>
                <w:i w:val="0"/>
                <w:color w:val="10151F"/>
                <w:sz w:val="18"/>
              </w:rPr>
              <w:t>GIS map rendering, OpenStreetMap tiles</w:t>
            </w:r>
          </w:p>
        </w:tc>
      </w:tr>
      <w:tr>
        <w:tc>
          <w:tcPr>
            <w:tcW w:type="dxa" w:w="2041"/>
          </w:tcPr>
          <w:p>
            <w:pPr>
              <w:spacing w:after="40" w:before="40" w:line="264" w:lineRule="auto"/>
            </w:pPr>
            <w:r/>
            <w:r>
              <w:rPr>
                <w:rFonts w:ascii="Calibri" w:hAnsi="Calibri"/>
                <w:b w:val="0"/>
                <w:i w:val="0"/>
                <w:color w:val="10151F"/>
                <w:sz w:val="18"/>
              </w:rPr>
              <w:t>vis-network</w:t>
            </w:r>
          </w:p>
        </w:tc>
        <w:tc>
          <w:tcPr>
            <w:tcW w:type="dxa" w:w="1361"/>
          </w:tcPr>
          <w:p>
            <w:pPr>
              <w:spacing w:after="40" w:before="40" w:line="264" w:lineRule="auto"/>
            </w:pPr>
            <w:r/>
            <w:r>
              <w:rPr>
                <w:rFonts w:ascii="Calibri" w:hAnsi="Calibri"/>
                <w:b w:val="0"/>
                <w:i w:val="0"/>
                <w:color w:val="10151F"/>
                <w:sz w:val="18"/>
              </w:rPr>
              <w:t>latest</w:t>
            </w:r>
          </w:p>
        </w:tc>
        <w:tc>
          <w:tcPr>
            <w:tcW w:type="dxa" w:w="5329"/>
          </w:tcPr>
          <w:p>
            <w:pPr>
              <w:spacing w:after="40" w:before="40" w:line="264" w:lineRule="auto"/>
            </w:pPr>
            <w:r/>
            <w:r>
              <w:rPr>
                <w:rFonts w:ascii="Calibri" w:hAnsi="Calibri"/>
                <w:b w:val="0"/>
                <w:i w:val="0"/>
                <w:color w:val="10151F"/>
                <w:sz w:val="18"/>
              </w:rPr>
              <w:t>Force-directed contractor / tender graph</w:t>
            </w:r>
          </w:p>
        </w:tc>
      </w:tr>
      <w:tr>
        <w:tc>
          <w:tcPr>
            <w:tcW w:type="dxa" w:w="2041"/>
          </w:tcPr>
          <w:p>
            <w:pPr>
              <w:spacing w:after="40" w:before="40" w:line="264" w:lineRule="auto"/>
            </w:pPr>
            <w:r/>
            <w:r>
              <w:rPr>
                <w:rFonts w:ascii="Calibri" w:hAnsi="Calibri"/>
                <w:b w:val="0"/>
                <w:i w:val="0"/>
                <w:color w:val="10151F"/>
                <w:sz w:val="18"/>
              </w:rPr>
              <w:t>HTML / CSS / JS</w:t>
            </w:r>
          </w:p>
        </w:tc>
        <w:tc>
          <w:tcPr>
            <w:tcW w:type="dxa" w:w="1361"/>
          </w:tcPr>
          <w:p>
            <w:pPr>
              <w:spacing w:after="40" w:before="40" w:line="264" w:lineRule="auto"/>
            </w:pPr>
            <w:r/>
            <w:r>
              <w:rPr>
                <w:rFonts w:ascii="Calibri" w:hAnsi="Calibri"/>
                <w:b w:val="0"/>
                <w:i w:val="0"/>
                <w:color w:val="10151F"/>
                <w:sz w:val="18"/>
              </w:rPr>
              <w:t>vanilla</w:t>
            </w:r>
          </w:p>
        </w:tc>
        <w:tc>
          <w:tcPr>
            <w:tcW w:type="dxa" w:w="5329"/>
          </w:tcPr>
          <w:p>
            <w:pPr>
              <w:spacing w:after="40" w:before="40" w:line="264" w:lineRule="auto"/>
            </w:pPr>
            <w:r/>
            <w:r>
              <w:rPr>
                <w:rFonts w:ascii="Calibri" w:hAnsi="Calibri"/>
                <w:b w:val="0"/>
                <w:i w:val="0"/>
                <w:color w:val="10151F"/>
                <w:sz w:val="18"/>
              </w:rPr>
              <w:t>Frontend — no framework, no build step</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B3261E"/>
              <w:top w:val="single" w:sz="2" w:color="FDF2F1"/>
              <w:bottom w:val="single" w:sz="2" w:color="FDF2F1"/>
              <w:right w:val="single" w:sz="2" w:color="FDF2F1"/>
            </w:tcBorders>
          </w:tcPr>
          <w:p>
            <w:pPr>
              <w:spacing w:after="80"/>
            </w:pPr>
            <w:r/>
            <w:r>
              <w:rPr>
                <w:rFonts w:ascii="Calibri" w:hAnsi="Calibri"/>
                <w:b/>
                <w:color w:val="B3261E"/>
                <w:sz w:val="20"/>
              </w:rPr>
              <w:t>There is no scikit-learn, no pandas, and no Isolation Forest</w:t>
            </w:r>
          </w:p>
          <w:p>
            <w:pPr>
              <w:spacing w:after="80" w:line="276" w:lineRule="auto"/>
            </w:pPr>
            <w:r>
              <w:rPr>
                <w:rFonts w:ascii="Calibri" w:hAnsi="Calibri"/>
                <w:b w:val="0"/>
                <w:i w:val="0"/>
                <w:color w:val="10151F"/>
                <w:sz w:val="19"/>
              </w:rPr>
              <w:t xml:space="preserve">Only three third-party Python packages are installed: </w:t>
            </w:r>
            <w:r>
              <w:rPr>
                <w:rFonts w:ascii="Calibri" w:hAnsi="Calibri"/>
                <w:b/>
                <w:i w:val="0"/>
                <w:color w:val="10151F"/>
                <w:sz w:val="19"/>
              </w:rPr>
              <w:t>fastapi</w:t>
            </w:r>
            <w:r>
              <w:rPr>
                <w:rFonts w:ascii="Calibri" w:hAnsi="Calibri"/>
                <w:b w:val="0"/>
                <w:i w:val="0"/>
                <w:color w:val="10151F"/>
                <w:sz w:val="19"/>
              </w:rPr>
              <w:t xml:space="preserve">, </w:t>
            </w:r>
            <w:r>
              <w:rPr>
                <w:rFonts w:ascii="Calibri" w:hAnsi="Calibri"/>
                <w:b/>
                <w:i w:val="0"/>
                <w:color w:val="10151F"/>
                <w:sz w:val="19"/>
              </w:rPr>
              <w:t>uvicorn</w:t>
            </w:r>
            <w:r>
              <w:rPr>
                <w:rFonts w:ascii="Calibri" w:hAnsi="Calibri"/>
                <w:b w:val="0"/>
                <w:i w:val="0"/>
                <w:color w:val="10151F"/>
                <w:sz w:val="19"/>
              </w:rPr>
              <w:t xml:space="preserve">, </w:t>
            </w:r>
            <w:r>
              <w:rPr>
                <w:rFonts w:ascii="Calibri" w:hAnsi="Calibri"/>
                <w:b/>
                <w:i w:val="0"/>
                <w:color w:val="10151F"/>
                <w:sz w:val="19"/>
              </w:rPr>
              <w:t>networkx</w:t>
            </w:r>
            <w:r>
              <w:rPr>
                <w:rFonts w:ascii="Calibri" w:hAnsi="Calibri"/>
                <w:b w:val="0"/>
                <w:i w:val="0"/>
                <w:color w:val="10151F"/>
                <w:sz w:val="19"/>
              </w:rPr>
              <w:t>. Everything else — sqlite3, csv, math, datetime — is the Python standard library.</w:t>
            </w:r>
          </w:p>
          <w:p>
            <w:pPr>
              <w:spacing w:after="0" w:line="276" w:lineRule="auto"/>
            </w:pPr>
            <w:r>
              <w:rPr>
                <w:rFonts w:ascii="Calibri" w:hAnsi="Calibri"/>
                <w:b w:val="0"/>
                <w:i w:val="0"/>
                <w:color w:val="10151F"/>
                <w:sz w:val="19"/>
              </w:rPr>
              <w:t xml:space="preserve">If anyone on your team says "Isolation Forest" or "Scikit-Learn" and a judge asks to see it, you have nothing to show. The statistical check in price_anomaly.py is a hand-written </w:t>
            </w:r>
            <w:r>
              <w:rPr>
                <w:rFonts w:ascii="Calibri" w:hAnsi="Calibri"/>
                <w:b/>
                <w:i w:val="0"/>
                <w:color w:val="10151F"/>
                <w:sz w:val="19"/>
              </w:rPr>
              <w:t>Z-score</w:t>
            </w:r>
            <w:r>
              <w:rPr>
                <w:rFonts w:ascii="Calibri" w:hAnsi="Calibri"/>
                <w:b w:val="0"/>
                <w:i w:val="0"/>
                <w:color w:val="10151F"/>
                <w:sz w:val="19"/>
              </w:rPr>
              <w:t>. Call it that.</w:t>
            </w:r>
          </w:p>
        </w:tc>
      </w:tr>
    </w:tbl>
    <w:p>
      <w:pPr>
        <w:spacing w:after="40"/>
      </w:pPr>
    </w:p>
    <w:p>
      <w:pPr>
        <w:spacing w:after="120" w:before="0"/>
      </w:pPr>
      <w:r>
        <w:rPr>
          <w:rFonts w:ascii="Calibri" w:hAnsi="Calibri"/>
          <w:b w:val="0"/>
          <w:i w:val="0"/>
          <w:color w:val="10151F"/>
          <w:sz w:val="20"/>
        </w:rPr>
        <w:t xml:space="preserve">About </w:t>
      </w:r>
      <w:r>
        <w:rPr>
          <w:rFonts w:ascii="Calibri" w:hAnsi="Calibri"/>
          <w:b/>
          <w:i w:val="0"/>
          <w:color w:val="10151F"/>
          <w:sz w:val="20"/>
        </w:rPr>
        <w:t>1,221 lines of Python</w:t>
      </w:r>
      <w:r>
        <w:rPr>
          <w:rFonts w:ascii="Calibri" w:hAnsi="Calibri"/>
          <w:b w:val="0"/>
          <w:i w:val="0"/>
          <w:color w:val="10151F"/>
          <w:sz w:val="20"/>
        </w:rPr>
        <w:t xml:space="preserve"> across the backend and </w:t>
      </w:r>
      <w:r>
        <w:rPr>
          <w:rFonts w:ascii="Calibri" w:hAnsi="Calibri"/>
          <w:b/>
          <w:i w:val="0"/>
          <w:color w:val="10151F"/>
          <w:sz w:val="20"/>
        </w:rPr>
        <w:t>1,985 lines</w:t>
      </w:r>
      <w:r>
        <w:rPr>
          <w:rFonts w:ascii="Calibri" w:hAnsi="Calibri"/>
          <w:b w:val="0"/>
          <w:i w:val="0"/>
          <w:color w:val="10151F"/>
          <w:sz w:val="20"/>
        </w:rPr>
        <w:t xml:space="preserve"> of frontend HTML, CSS and JavaScript — small enough that you can honestly say you know what every file does.</w:t>
      </w:r>
    </w:p>
    <w:p>
      <w:r>
        <w:br w:type="page"/>
      </w:r>
    </w:p>
    <w:p>
      <w:pPr>
        <w:pStyle w:val="Heading1"/>
        <w:spacing w:before="360" w:after="120"/>
        <w:pBdr>
          <w:bottom w:val="single" w:sz="6" w:space="6" w:color="E2E6EE"/>
        </w:pBdr>
      </w:pPr>
      <w:r>
        <w:rPr>
          <w:rFonts w:ascii="Georgia" w:hAnsi="Georgia"/>
          <w:b/>
          <w:color w:val="0F2544"/>
          <w:sz w:val="32"/>
        </w:rPr>
        <w:t>6.  Architecture</w:t>
      </w:r>
    </w:p>
    <w:p>
      <w:pPr>
        <w:pStyle w:val="Heading3"/>
        <w:spacing w:before="260" w:after="120"/>
      </w:pPr>
      <w:r>
        <w:rPr>
          <w:rFonts w:ascii="Calibri" w:hAnsi="Calibri"/>
          <w:b/>
          <w:color w:val="10151F"/>
          <w:sz w:val="23"/>
        </w:rPr>
        <w:t>Data model</w:t>
      </w:r>
    </w:p>
    <w:p>
      <w:pPr>
        <w:spacing w:after="40" w:before="0"/>
      </w:pPr>
      <w:r>
        <w:rPr>
          <w:rFonts w:ascii="Consolas" w:hAnsi="Consolas"/>
          <w:b w:val="0"/>
          <w:i w:val="0"/>
          <w:color w:val="56607A"/>
          <w:sz w:val="17"/>
        </w:rPr>
        <w:t>constituencies --&lt; mps --&lt; works &gt;-- contractors</w:t>
      </w:r>
    </w:p>
    <w:p>
      <w:pPr>
        <w:spacing w:after="40" w:before="0"/>
      </w:pPr>
      <w:r>
        <w:rPr>
          <w:rFonts w:ascii="Consolas" w:hAnsi="Consolas"/>
          <w:b w:val="0"/>
          <w:i w:val="0"/>
          <w:color w:val="56607A"/>
          <w:sz w:val="17"/>
        </w:rPr>
        <w:t xml:space="preserve">                            |          |</w:t>
      </w:r>
    </w:p>
    <w:p>
      <w:pPr>
        <w:spacing w:after="40" w:before="0"/>
      </w:pPr>
      <w:r>
        <w:rPr>
          <w:rFonts w:ascii="Consolas" w:hAnsi="Consolas"/>
          <w:b w:val="0"/>
          <w:i w:val="0"/>
          <w:color w:val="56607A"/>
          <w:sz w:val="17"/>
        </w:rPr>
        <w:t xml:space="preserve">                            +--&lt; tenders --&lt; bids</w:t>
      </w:r>
    </w:p>
    <w:p>
      <w:pPr>
        <w:spacing w:after="40" w:before="0"/>
      </w:pPr>
    </w:p>
    <w:p>
      <w:pPr>
        <w:spacing w:after="40" w:before="0"/>
      </w:pPr>
      <w:r>
        <w:rPr>
          <w:rFonts w:ascii="Consolas" w:hAnsi="Consolas"/>
          <w:b w:val="0"/>
          <w:i w:val="0"/>
          <w:color w:val="56607A"/>
          <w:sz w:val="17"/>
        </w:rPr>
        <w:t xml:space="preserve">  pwd_benchmarks   reference rate ceilings, joined on work_category</w:t>
      </w:r>
    </w:p>
    <w:p>
      <w:pPr>
        <w:spacing w:after="40" w:before="0"/>
      </w:pPr>
      <w:r>
        <w:rPr>
          <w:rFonts w:ascii="Consolas" w:hAnsi="Consolas"/>
          <w:b w:val="0"/>
          <w:i w:val="0"/>
          <w:color w:val="56607A"/>
          <w:sz w:val="17"/>
        </w:rPr>
        <w:t xml:space="preserve">  anomalies        detector output, with mathematical_evidence</w:t>
      </w:r>
    </w:p>
    <w:p>
      <w:pPr>
        <w:spacing w:after="80" w:before="0"/>
      </w:pPr>
    </w:p>
    <w:p>
      <w:pPr>
        <w:spacing w:after="120" w:before="0"/>
      </w:pPr>
      <w:r>
        <w:rPr>
          <w:rFonts w:ascii="Calibri" w:hAnsi="Calibri"/>
          <w:b w:val="0"/>
          <w:i w:val="0"/>
          <w:color w:val="10151F"/>
          <w:sz w:val="20"/>
        </w:rPr>
        <w:t xml:space="preserve">MPLADS data is inherently relational: a member recommends a work, a work has a tender, a tender receives bids from contractors. </w:t>
      </w:r>
      <w:r>
        <w:rPr>
          <w:rFonts w:ascii="Calibri" w:hAnsi="Calibri"/>
          <w:b/>
          <w:i w:val="0"/>
          <w:color w:val="10151F"/>
          <w:sz w:val="20"/>
        </w:rPr>
        <w:t>Cartel detection is only possible because bids join to both tenders and contractors</w:t>
      </w:r>
      <w:r>
        <w:rPr>
          <w:rFonts w:ascii="Calibri" w:hAnsi="Calibri"/>
          <w:b w:val="0"/>
          <w:i w:val="0"/>
          <w:color w:val="10151F"/>
          <w:sz w:val="20"/>
        </w:rPr>
        <w:t xml:space="preserve"> — that is the sentence to use if asked why SQL.</w:t>
      </w:r>
    </w:p>
    <w:p>
      <w:pPr>
        <w:pStyle w:val="Heading3"/>
        <w:spacing w:before="260" w:after="120"/>
      </w:pPr>
      <w:r>
        <w:rPr>
          <w:rFonts w:ascii="Calibri" w:hAnsi="Calibri"/>
          <w:b/>
          <w:color w:val="10151F"/>
          <w:sz w:val="23"/>
        </w:rPr>
        <w:t>API endpoints</w:t>
      </w:r>
    </w:p>
    <w:tbl>
      <w:tblPr>
        <w:tblStyle w:val="TableGrid"/>
        <w:tblW w:type="auto" w:w="0"/>
        <w:tblLook w:firstColumn="1" w:firstRow="1" w:lastColumn="0" w:lastRow="0" w:noHBand="0" w:noVBand="1" w:val="04A0"/>
      </w:tblPr>
      <w:tblGrid>
        <w:gridCol w:w="3173"/>
        <w:gridCol w:w="3173"/>
        <w:gridCol w:w="3173"/>
      </w:tblGrid>
      <w:tr>
        <w:tc>
          <w:tcPr>
            <w:tcW w:type="dxa" w:w="1134"/>
          </w:tcPr>
          <w:p>
            <w:pPr>
              <w:spacing w:after="40" w:before="40"/>
            </w:pPr>
            <w:r/>
            <w:r>
              <w:rPr>
                <w:rFonts w:ascii="Calibri" w:hAnsi="Calibri"/>
                <w:b/>
                <w:color w:val="FFFFFF"/>
                <w:sz w:val="17"/>
              </w:rPr>
              <w:t>Method</w:t>
            </w:r>
          </w:p>
        </w:tc>
        <w:tc>
          <w:tcPr>
            <w:tcW w:type="dxa" w:w="2948"/>
          </w:tcPr>
          <w:p>
            <w:pPr>
              <w:spacing w:after="40" w:before="40"/>
            </w:pPr>
            <w:r/>
            <w:r>
              <w:rPr>
                <w:rFonts w:ascii="Calibri" w:hAnsi="Calibri"/>
                <w:b/>
                <w:color w:val="FFFFFF"/>
                <w:sz w:val="17"/>
              </w:rPr>
              <w:t>Endpoint</w:t>
            </w:r>
          </w:p>
        </w:tc>
        <w:tc>
          <w:tcPr>
            <w:tcW w:type="dxa" w:w="4649"/>
          </w:tcPr>
          <w:p>
            <w:pPr>
              <w:spacing w:after="40" w:before="40"/>
            </w:pPr>
            <w:r/>
            <w:r>
              <w:rPr>
                <w:rFonts w:ascii="Calibri" w:hAnsi="Calibri"/>
                <w:b/>
                <w:color w:val="FFFFFF"/>
                <w:sz w:val="17"/>
              </w:rPr>
              <w:t>Returns</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/api/stats</w:t>
            </w:r>
          </w:p>
        </w:tc>
        <w:tc>
          <w:tcPr>
            <w:tcW w:type="dxa" w:w="4649"/>
          </w:tcPr>
          <w:p>
            <w:pPr>
              <w:spacing w:after="40" w:before="40" w:line="264" w:lineRule="auto"/>
            </w:pPr>
            <w:r/>
            <w:r>
              <w:rPr>
                <w:rFonts w:ascii="Calibri" w:hAnsi="Calibri"/>
                <w:b w:val="0"/>
                <w:i w:val="0"/>
                <w:color w:val="10151F"/>
                <w:sz w:val="18"/>
              </w:rPr>
              <w:t>Dashboard summary counters</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/api/mps</w:t>
            </w:r>
          </w:p>
        </w:tc>
        <w:tc>
          <w:tcPr>
            <w:tcW w:type="dxa" w:w="4649"/>
          </w:tcPr>
          <w:p>
            <w:pPr>
              <w:spacing w:after="40" w:before="40" w:line="264" w:lineRule="auto"/>
            </w:pPr>
            <w:r/>
            <w:r>
              <w:rPr>
                <w:rFonts w:ascii="Calibri" w:hAnsi="Calibri"/>
                <w:b w:val="0"/>
                <w:i w:val="0"/>
                <w:color w:val="10151F"/>
                <w:sz w:val="18"/>
              </w:rPr>
              <w:t>All 543 members and allocations</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/api/works</w:t>
            </w:r>
          </w:p>
        </w:tc>
        <w:tc>
          <w:tcPr>
            <w:tcW w:type="dxa" w:w="4649"/>
          </w:tcPr>
          <w:p>
            <w:pPr>
              <w:spacing w:after="40" w:before="40" w:line="264" w:lineRule="auto"/>
            </w:pPr>
            <w:r/>
            <w:r>
              <w:rPr>
                <w:rFonts w:ascii="Calibri" w:hAnsi="Calibri"/>
                <w:b w:val="0"/>
                <w:i w:val="0"/>
                <w:color w:val="10151F"/>
                <w:sz w:val="18"/>
              </w:rPr>
              <w:t>Works with coordinates and risk level</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/api/anomalies</w:t>
            </w:r>
          </w:p>
        </w:tc>
        <w:tc>
          <w:tcPr>
            <w:tcW w:type="dxa" w:w="4649"/>
          </w:tcPr>
          <w:p>
            <w:pPr>
              <w:spacing w:after="40" w:before="40" w:line="264" w:lineRule="auto"/>
            </w:pPr>
            <w:r/>
            <w:r>
              <w:rPr>
                <w:rFonts w:ascii="Calibri" w:hAnsi="Calibri"/>
                <w:b w:val="0"/>
                <w:i w:val="0"/>
                <w:color w:val="10151F"/>
                <w:sz w:val="18"/>
              </w:rPr>
              <w:t>Findings with evidence, severity-ordered</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/api/benchmarks</w:t>
            </w:r>
          </w:p>
        </w:tc>
        <w:tc>
          <w:tcPr>
            <w:tcW w:type="dxa" w:w="4649"/>
          </w:tcPr>
          <w:p>
            <w:pPr>
              <w:spacing w:after="40" w:before="40" w:line="264" w:lineRule="auto"/>
            </w:pPr>
            <w:r/>
            <w:r>
              <w:rPr>
                <w:rFonts w:ascii="Calibri" w:hAnsi="Calibri"/>
                <w:b w:val="0"/>
                <w:i w:val="0"/>
                <w:color w:val="10151F"/>
                <w:sz w:val="18"/>
              </w:rPr>
              <w:t>PWD rate ceilings by category</w:t>
            </w:r>
          </w:p>
        </w:tc>
      </w:tr>
      <w:tr>
        <w:tc>
          <w:tcPr>
            <w:tcW w:type="dxa" w:w="1134"/>
          </w:tcPr>
          <w:p>
            <w:pPr>
              <w:spacing w:after="40" w:before="40" w:line="264" w:lineRule="auto"/>
            </w:pPr>
            <w:r/>
            <w:r>
              <w:rPr>
                <w:rFonts w:ascii="Calibri" w:hAnsi="Calibri"/>
                <w:b w:val="0"/>
                <w:i w:val="0"/>
                <w:color w:val="10151F"/>
                <w:sz w:val="18"/>
              </w:rPr>
              <w:t>GET</w:t>
            </w:r>
          </w:p>
        </w:tc>
        <w:tc>
          <w:tcPr>
            <w:tcW w:type="dxa" w:w="2948"/>
          </w:tcPr>
          <w:p>
            <w:pPr>
              <w:spacing w:after="40" w:before="40" w:line="264" w:lineRule="auto"/>
            </w:pPr>
            <w:r/>
            <w:r>
              <w:rPr>
                <w:rFonts w:ascii="Consolas" w:hAnsi="Consolas"/>
                <w:b w:val="0"/>
                <w:i w:val="0"/>
                <w:color w:val="10151F"/>
                <w:sz w:val="18"/>
              </w:rPr>
              <w:t>/api/cartel-network</w:t>
            </w:r>
          </w:p>
        </w:tc>
        <w:tc>
          <w:tcPr>
            <w:tcW w:type="dxa" w:w="4649"/>
          </w:tcPr>
          <w:p>
            <w:pPr>
              <w:spacing w:after="40" w:before="40" w:line="264" w:lineRule="auto"/>
            </w:pPr>
            <w:r/>
            <w:r>
              <w:rPr>
                <w:rFonts w:ascii="Calibri" w:hAnsi="Calibri"/>
                <w:b w:val="0"/>
                <w:i w:val="0"/>
                <w:color w:val="10151F"/>
                <w:sz w:val="18"/>
              </w:rPr>
              <w:t>Contractor / tender graph nodes and edges</w:t>
            </w:r>
          </w:p>
        </w:tc>
      </w:tr>
      <w:tr>
        <w:tc>
          <w:tcPr>
            <w:tcW w:type="dxa" w:w="1134"/>
          </w:tcPr>
          <w:p>
            <w:pPr>
              <w:spacing w:after="40" w:before="40" w:line="264" w:lineRule="auto"/>
            </w:pPr>
            <w:r/>
            <w:r>
              <w:rPr>
                <w:rFonts w:ascii="Calibri" w:hAnsi="Calibri"/>
                <w:b w:val="0"/>
                <w:i w:val="0"/>
                <w:color w:val="10151F"/>
                <w:sz w:val="18"/>
              </w:rPr>
              <w:t>POST</w:t>
            </w:r>
          </w:p>
        </w:tc>
        <w:tc>
          <w:tcPr>
            <w:tcW w:type="dxa" w:w="2948"/>
          </w:tcPr>
          <w:p>
            <w:pPr>
              <w:spacing w:after="40" w:before="40" w:line="264" w:lineRule="auto"/>
            </w:pPr>
            <w:r/>
            <w:r>
              <w:rPr>
                <w:rFonts w:ascii="Consolas" w:hAnsi="Consolas"/>
                <w:b w:val="0"/>
                <w:i w:val="0"/>
                <w:color w:val="10151F"/>
                <w:sz w:val="18"/>
              </w:rPr>
              <w:t>/api/trigger-audit</w:t>
            </w:r>
          </w:p>
        </w:tc>
        <w:tc>
          <w:tcPr>
            <w:tcW w:type="dxa" w:w="4649"/>
          </w:tcPr>
          <w:p>
            <w:pPr>
              <w:spacing w:after="40" w:before="40" w:line="264" w:lineRule="auto"/>
            </w:pPr>
            <w:r/>
            <w:r>
              <w:rPr>
                <w:rFonts w:ascii="Calibri" w:hAnsi="Calibri"/>
                <w:b w:val="0"/>
                <w:i w:val="0"/>
                <w:color w:val="10151F"/>
                <w:sz w:val="18"/>
              </w:rPr>
              <w:t>Re-runs all four detectors</w:t>
            </w:r>
          </w:p>
        </w:tc>
      </w:tr>
      <w:tr>
        <w:tc>
          <w:tcPr>
            <w:tcW w:type="dxa" w:w="1134"/>
          </w:tcPr>
          <w:p>
            <w:pPr>
              <w:spacing w:after="40" w:before="40" w:line="264" w:lineRule="auto"/>
            </w:pPr>
            <w:r/>
            <w:r>
              <w:rPr>
                <w:rFonts w:ascii="Calibri" w:hAnsi="Calibri"/>
                <w:b w:val="0"/>
                <w:i w:val="0"/>
                <w:color w:val="10151F"/>
                <w:sz w:val="18"/>
              </w:rPr>
              <w:t>POST</w:t>
            </w:r>
          </w:p>
        </w:tc>
        <w:tc>
          <w:tcPr>
            <w:tcW w:type="dxa" w:w="2948"/>
          </w:tcPr>
          <w:p>
            <w:pPr>
              <w:spacing w:after="40" w:before="40" w:line="264" w:lineRule="auto"/>
            </w:pPr>
            <w:r/>
            <w:r>
              <w:rPr>
                <w:rFonts w:ascii="Consolas" w:hAnsi="Consolas"/>
                <w:b w:val="0"/>
                <w:i w:val="0"/>
                <w:color w:val="10151F"/>
                <w:sz w:val="18"/>
              </w:rPr>
              <w:t>/api/reset-data</w:t>
            </w:r>
          </w:p>
        </w:tc>
        <w:tc>
          <w:tcPr>
            <w:tcW w:type="dxa" w:w="4649"/>
          </w:tcPr>
          <w:p>
            <w:pPr>
              <w:spacing w:after="40" w:before="40" w:line="264" w:lineRule="auto"/>
            </w:pPr>
            <w:r/>
            <w:r>
              <w:rPr>
                <w:rFonts w:ascii="Calibri" w:hAnsi="Calibri"/>
                <w:b w:val="0"/>
                <w:i w:val="0"/>
                <w:color w:val="10151F"/>
                <w:sz w:val="18"/>
              </w:rPr>
              <w:t>Rebuilds the database from source</w:t>
            </w:r>
          </w:p>
        </w:tc>
      </w:tr>
    </w:tbl>
    <w:p>
      <w:pPr>
        <w:spacing w:after="40"/>
      </w:pPr>
    </w:p>
    <w:p>
      <w:pPr>
        <w:spacing w:after="120" w:before="0"/>
      </w:pPr>
      <w:r>
        <w:rPr>
          <w:rFonts w:ascii="Calibri" w:hAnsi="Calibri"/>
          <w:b w:val="0"/>
          <w:i w:val="0"/>
          <w:color w:val="10151F"/>
          <w:sz w:val="20"/>
        </w:rPr>
        <w:t xml:space="preserve">Interactive OpenAPI documentation is live at </w:t>
      </w:r>
      <w:r>
        <w:rPr>
          <w:rFonts w:ascii="Calibri" w:hAnsi="Calibri"/>
          <w:b/>
          <w:i w:val="0"/>
          <w:color w:val="10151F"/>
          <w:sz w:val="20"/>
        </w:rPr>
        <w:t>localhost:8000/docs</w:t>
      </w:r>
      <w:r>
        <w:rPr>
          <w:rFonts w:ascii="Calibri" w:hAnsi="Calibri"/>
          <w:b w:val="0"/>
          <w:i w:val="0"/>
          <w:color w:val="10151F"/>
          <w:sz w:val="20"/>
        </w:rPr>
        <w:t>. Opening it is a strong move if a judge asks about integration — it shows a real, typed, callable API rather than a demo mock-up.</w:t>
      </w:r>
    </w:p>
    <w:p>
      <w:r>
        <w:br w:type="page"/>
      </w:r>
    </w:p>
    <w:p>
      <w:pPr>
        <w:pStyle w:val="Heading1"/>
        <w:spacing w:before="360" w:after="120"/>
        <w:pBdr>
          <w:bottom w:val="single" w:sz="6" w:space="6" w:color="E2E6EE"/>
        </w:pBdr>
      </w:pPr>
      <w:r>
        <w:rPr>
          <w:rFonts w:ascii="Georgia" w:hAnsi="Georgia"/>
          <w:b/>
          <w:color w:val="0F2544"/>
          <w:sz w:val="32"/>
        </w:rPr>
        <w:t>7.  The four detectors</w:t>
      </w:r>
    </w:p>
    <w:p>
      <w:pPr>
        <w:pStyle w:val="Heading3"/>
        <w:spacing w:before="260" w:after="120"/>
      </w:pPr>
      <w:r>
        <w:rPr>
          <w:rFonts w:ascii="Calibri" w:hAnsi="Calibri"/>
          <w:b/>
          <w:color w:val="10151F"/>
          <w:sz w:val="23"/>
        </w:rPr>
        <w:t>01  ·  Spatial duplicate detection</w:t>
      </w:r>
    </w:p>
    <w:p>
      <w:pPr>
        <w:spacing w:after="120" w:before="0"/>
      </w:pPr>
      <w:r>
        <w:rPr>
          <w:rFonts w:ascii="Calibri" w:hAnsi="Calibri"/>
          <w:b w:val="0"/>
          <w:i w:val="0"/>
          <w:color w:val="10151F"/>
          <w:sz w:val="20"/>
        </w:rPr>
        <w:t xml:space="preserve">Compares every pair of works of the same category within the same constituency, computing great-circle distance between GPS coordinates using the </w:t>
      </w:r>
      <w:r>
        <w:rPr>
          <w:rFonts w:ascii="Calibri" w:hAnsi="Calibri"/>
          <w:b/>
          <w:i w:val="0"/>
          <w:color w:val="10151F"/>
          <w:sz w:val="20"/>
        </w:rPr>
        <w:t>Haversine formula</w:t>
      </w:r>
      <w:r>
        <w:rPr>
          <w:rFonts w:ascii="Calibri" w:hAnsi="Calibri"/>
          <w:b w:val="0"/>
          <w:i w:val="0"/>
          <w:color w:val="10151F"/>
          <w:sz w:val="20"/>
        </w:rPr>
        <w:t>. Two same-category assets within 100 metres are flagged.</w:t>
      </w:r>
    </w:p>
    <w:p>
      <w:pPr>
        <w:spacing w:after="120" w:before="0"/>
      </w:pPr>
      <w:r>
        <w:rPr>
          <w:rFonts w:ascii="Calibri" w:hAnsi="Calibri"/>
          <w:b/>
          <w:i w:val="0"/>
          <w:color w:val="10151F"/>
          <w:sz w:val="20"/>
        </w:rPr>
        <w:t>Say it simply:</w:t>
      </w:r>
      <w:r>
        <w:rPr>
          <w:rFonts w:ascii="Calibri" w:hAnsi="Calibri"/>
          <w:b w:val="0"/>
          <w:i w:val="0"/>
          <w:color w:val="10151F"/>
          <w:sz w:val="20"/>
        </w:rPr>
        <w:t xml:space="preserve"> "We measure the real distance between two points on the globe. Two borewells forty-five metres apart in the same ward are almost certainly one borewell billed twice."</w:t>
      </w:r>
    </w:p>
    <w:p>
      <w:pPr>
        <w:pStyle w:val="Heading3"/>
        <w:spacing w:before="260" w:after="120"/>
      </w:pPr>
      <w:r>
        <w:rPr>
          <w:rFonts w:ascii="Calibri" w:hAnsi="Calibri"/>
          <w:b/>
          <w:color w:val="10151F"/>
          <w:sz w:val="23"/>
        </w:rPr>
        <w:t>02  ·  Collusive bidding detection</w:t>
      </w:r>
    </w:p>
    <w:p>
      <w:pPr>
        <w:spacing w:after="120" w:before="0"/>
      </w:pPr>
      <w:r>
        <w:rPr>
          <w:rFonts w:ascii="Calibri" w:hAnsi="Calibri"/>
          <w:b w:val="0"/>
          <w:i w:val="0"/>
          <w:color w:val="10151F"/>
          <w:sz w:val="20"/>
        </w:rPr>
        <w:t xml:space="preserve">Builds a </w:t>
      </w:r>
      <w:r>
        <w:rPr>
          <w:rFonts w:ascii="Calibri" w:hAnsi="Calibri"/>
          <w:b/>
          <w:i w:val="0"/>
          <w:color w:val="10151F"/>
          <w:sz w:val="20"/>
        </w:rPr>
        <w:t>bipartite graph</w:t>
      </w:r>
      <w:r>
        <w:rPr>
          <w:rFonts w:ascii="Calibri" w:hAnsi="Calibri"/>
          <w:b w:val="0"/>
          <w:i w:val="0"/>
          <w:color w:val="10151F"/>
          <w:sz w:val="20"/>
        </w:rPr>
        <w:t xml:space="preserve"> in NetworkX — contractors and tenders as nodes, bids as edges. For each pair of contractors it counts shared tenders as an edge weight, and computes the </w:t>
      </w:r>
      <w:r>
        <w:rPr>
          <w:rFonts w:ascii="Calibri" w:hAnsi="Calibri"/>
          <w:b/>
          <w:i w:val="0"/>
          <w:color w:val="10151F"/>
          <w:sz w:val="20"/>
        </w:rPr>
        <w:t>Jaccard index</w:t>
      </w:r>
      <w:r>
        <w:rPr>
          <w:rFonts w:ascii="Calibri" w:hAnsi="Calibri"/>
          <w:b w:val="0"/>
          <w:i w:val="0"/>
          <w:color w:val="10151F"/>
          <w:sz w:val="20"/>
        </w:rPr>
        <w:t xml:space="preserve"> of their bidding histories.</w:t>
      </w:r>
    </w:p>
    <w:p>
      <w:pPr>
        <w:spacing w:after="120" w:before="0"/>
      </w:pPr>
      <w:r>
        <w:rPr>
          <w:rFonts w:ascii="Calibri" w:hAnsi="Calibri"/>
          <w:b/>
          <w:i w:val="0"/>
          <w:color w:val="10151F"/>
          <w:sz w:val="20"/>
        </w:rPr>
        <w:t>Say it simply:</w:t>
      </w:r>
      <w:r>
        <w:rPr>
          <w:rFonts w:ascii="Calibri" w:hAnsi="Calibri"/>
          <w:b w:val="0"/>
          <w:i w:val="0"/>
          <w:color w:val="10151F"/>
          <w:sz w:val="20"/>
        </w:rPr>
        <w:t xml:space="preserve"> "We model procurement as a graph and measure how often the same two contractors show up in the same bidding pool. In our data the Jaccard overlap is 100% — neither contractor ever bid on a tender without the other."</w:t>
      </w: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Be careful here</w:t>
            </w:r>
          </w:p>
          <w:p>
            <w:pPr>
              <w:spacing w:after="0" w:line="276" w:lineRule="auto"/>
            </w:pPr>
            <w:r>
              <w:rPr>
                <w:rFonts w:ascii="Calibri" w:hAnsi="Calibri"/>
                <w:b w:val="0"/>
                <w:i w:val="0"/>
                <w:color w:val="10151F"/>
                <w:sz w:val="19"/>
              </w:rPr>
              <w:t xml:space="preserve">The code compares </w:t>
            </w:r>
            <w:r>
              <w:rPr>
                <w:rFonts w:ascii="Calibri" w:hAnsi="Calibri"/>
                <w:b/>
                <w:i w:val="0"/>
                <w:color w:val="10151F"/>
                <w:sz w:val="19"/>
              </w:rPr>
              <w:t>pairs</w:t>
            </w:r>
            <w:r>
              <w:rPr>
                <w:rFonts w:ascii="Calibri" w:hAnsi="Calibri"/>
                <w:b w:val="0"/>
                <w:i w:val="0"/>
                <w:color w:val="10151F"/>
                <w:sz w:val="19"/>
              </w:rPr>
              <w:t>, not cliques. Do not say “we find cliques” — say “we flag co-bidding relationships.” Your three alerts are the three pairwise edges of one group of three contractors. “One ring of three contractors, surfaced as three relationships” is accurate and sounds better.</w:t>
            </w:r>
          </w:p>
        </w:tc>
      </w:tr>
    </w:tbl>
    <w:p>
      <w:pPr>
        <w:spacing w:after="40"/>
      </w:pPr>
    </w:p>
    <w:p>
      <w:pPr>
        <w:pStyle w:val="Heading3"/>
        <w:spacing w:before="260" w:after="120"/>
      </w:pPr>
      <w:r>
        <w:rPr>
          <w:rFonts w:ascii="Calibri" w:hAnsi="Calibri"/>
          <w:b/>
          <w:color w:val="10151F"/>
          <w:sz w:val="23"/>
        </w:rPr>
        <w:t>03  ·  Rate benchmark and cost outlier analysis</w:t>
      </w:r>
    </w:p>
    <w:p>
      <w:pPr>
        <w:spacing w:after="120" w:before="0"/>
      </w:pPr>
      <w:r>
        <w:rPr>
          <w:rFonts w:ascii="Calibri" w:hAnsi="Calibri"/>
          <w:b w:val="0"/>
          <w:i w:val="0"/>
          <w:color w:val="10151F"/>
          <w:sz w:val="20"/>
        </w:rPr>
        <w:t xml:space="preserve">Two checks. First a deterministic comparison against the </w:t>
      </w:r>
      <w:r>
        <w:rPr>
          <w:rFonts w:ascii="Calibri" w:hAnsi="Calibri"/>
          <w:b/>
          <w:i w:val="0"/>
          <w:color w:val="10151F"/>
          <w:sz w:val="20"/>
        </w:rPr>
        <w:t>PWD Schedule of Rates</w:t>
      </w:r>
      <w:r>
        <w:rPr>
          <w:rFonts w:ascii="Calibri" w:hAnsi="Calibri"/>
          <w:b w:val="0"/>
          <w:i w:val="0"/>
          <w:color w:val="10151F"/>
          <w:sz w:val="20"/>
        </w:rPr>
        <w:t xml:space="preserve"> ceiling, flagged at 1.5× or above. Second a </w:t>
      </w:r>
      <w:r>
        <w:rPr>
          <w:rFonts w:ascii="Calibri" w:hAnsi="Calibri"/>
          <w:b/>
          <w:i w:val="0"/>
          <w:color w:val="10151F"/>
          <w:sz w:val="20"/>
        </w:rPr>
        <w:t>Z-score</w:t>
      </w:r>
      <w:r>
        <w:rPr>
          <w:rFonts w:ascii="Calibri" w:hAnsi="Calibri"/>
          <w:b w:val="0"/>
          <w:i w:val="0"/>
          <w:color w:val="10151F"/>
          <w:sz w:val="20"/>
        </w:rPr>
        <w:t xml:space="preserve"> test across all sanctioned costs, flagged above 2.5 standard deviations.</w:t>
      </w:r>
    </w:p>
    <w:p>
      <w:pPr>
        <w:spacing w:after="120" w:before="0"/>
      </w:pPr>
      <w:r>
        <w:rPr>
          <w:rFonts w:ascii="Calibri" w:hAnsi="Calibri"/>
          <w:b/>
          <w:i w:val="0"/>
          <w:color w:val="10151F"/>
          <w:sz w:val="20"/>
        </w:rPr>
        <w:t>Say it simply:</w:t>
      </w:r>
      <w:r>
        <w:rPr>
          <w:rFonts w:ascii="Calibri" w:hAnsi="Calibri"/>
          <w:b w:val="0"/>
          <w:i w:val="0"/>
          <w:color w:val="10151F"/>
          <w:sz w:val="20"/>
        </w:rPr>
        <w:t xml:space="preserve"> "Every work category has an official maximum rate. We compare against it, then separately check for statistical outliers the rate table might miss."</w:t>
      </w:r>
    </w:p>
    <w:p>
      <w:pPr>
        <w:pStyle w:val="Heading3"/>
        <w:spacing w:before="260" w:after="120"/>
      </w:pPr>
      <w:r>
        <w:rPr>
          <w:rFonts w:ascii="Calibri" w:hAnsi="Calibri"/>
          <w:b/>
          <w:color w:val="10151F"/>
          <w:sz w:val="23"/>
        </w:rPr>
        <w:t>04  ·  Fund stagnation monitoring</w:t>
      </w:r>
    </w:p>
    <w:p>
      <w:pPr>
        <w:spacing w:after="120" w:before="0"/>
      </w:pPr>
      <w:r>
        <w:rPr>
          <w:rFonts w:ascii="Calibri" w:hAnsi="Calibri"/>
          <w:b w:val="0"/>
          <w:i w:val="0"/>
          <w:color w:val="10151F"/>
          <w:sz w:val="20"/>
        </w:rPr>
        <w:t>A SQL query selects works below the completion threshold; Python computes elapsed days since sanction. Flagged at 180+ days below 20% progress. A second constituency-level rule reports unspent balances.</w:t>
      </w:r>
    </w:p>
    <w:p>
      <w:pPr>
        <w:spacing w:after="120" w:before="0"/>
      </w:pPr>
      <w:r>
        <w:rPr>
          <w:rFonts w:ascii="Calibri" w:hAnsi="Calibri"/>
          <w:b/>
          <w:i w:val="0"/>
          <w:color w:val="10151F"/>
          <w:sz w:val="20"/>
        </w:rPr>
        <w:t>Say it simply:</w:t>
      </w:r>
      <w:r>
        <w:rPr>
          <w:rFonts w:ascii="Calibri" w:hAnsi="Calibri"/>
          <w:b w:val="0"/>
          <w:i w:val="0"/>
          <w:color w:val="10151F"/>
          <w:sz w:val="20"/>
        </w:rPr>
        <w:t xml:space="preserve"> "If money was released two years ago and the work is five percent done, that is not fraud but it is a failure, and someone should be told."</w:t>
      </w:r>
    </w:p>
    <w:p>
      <w:pPr>
        <w:pStyle w:val="Heading3"/>
        <w:spacing w:before="260" w:after="120"/>
      </w:pPr>
      <w:r>
        <w:rPr>
          <w:rFonts w:ascii="Calibri" w:hAnsi="Calibri"/>
          <w:b/>
          <w:color w:val="10151F"/>
          <w:sz w:val="23"/>
        </w:rPr>
        <w:t>Threshold summary — all in backend/config.py</w:t>
      </w:r>
    </w:p>
    <w:tbl>
      <w:tblPr>
        <w:tblStyle w:val="TableGrid"/>
        <w:tblW w:type="auto" w:w="0"/>
        <w:tblLook w:firstColumn="1" w:firstRow="1" w:lastColumn="0" w:lastRow="0" w:noHBand="0" w:noVBand="1" w:val="04A0"/>
      </w:tblPr>
      <w:tblGrid>
        <w:gridCol w:w="3173"/>
        <w:gridCol w:w="3173"/>
        <w:gridCol w:w="3173"/>
      </w:tblGrid>
      <w:tr>
        <w:tc>
          <w:tcPr>
            <w:tcW w:type="dxa" w:w="2381"/>
          </w:tcPr>
          <w:p>
            <w:pPr>
              <w:spacing w:after="40" w:before="40"/>
            </w:pPr>
            <w:r/>
            <w:r>
              <w:rPr>
                <w:rFonts w:ascii="Calibri" w:hAnsi="Calibri"/>
                <w:b/>
                <w:color w:val="FFFFFF"/>
                <w:sz w:val="17"/>
              </w:rPr>
              <w:t>Detector</w:t>
            </w:r>
          </w:p>
        </w:tc>
        <w:tc>
          <w:tcPr>
            <w:tcW w:type="dxa" w:w="2381"/>
          </w:tcPr>
          <w:p>
            <w:pPr>
              <w:spacing w:after="40" w:before="40"/>
            </w:pPr>
            <w:r/>
            <w:r>
              <w:rPr>
                <w:rFonts w:ascii="Calibri" w:hAnsi="Calibri"/>
                <w:b/>
                <w:color w:val="FFFFFF"/>
                <w:sz w:val="17"/>
              </w:rPr>
              <w:t>Threshold</w:t>
            </w:r>
          </w:p>
        </w:tc>
        <w:tc>
          <w:tcPr>
            <w:tcW w:type="dxa" w:w="3969"/>
          </w:tcPr>
          <w:p>
            <w:pPr>
              <w:spacing w:after="40" w:before="40"/>
            </w:pPr>
            <w:r/>
            <w:r>
              <w:rPr>
                <w:rFonts w:ascii="Calibri" w:hAnsi="Calibri"/>
                <w:b/>
                <w:color w:val="FFFFFF"/>
                <w:sz w:val="17"/>
              </w:rPr>
              <w:t>Config constant</w:t>
            </w:r>
          </w:p>
        </w:tc>
      </w:tr>
      <w:tr>
        <w:tc>
          <w:tcPr>
            <w:tcW w:type="dxa" w:w="2381"/>
          </w:tcPr>
          <w:p>
            <w:pPr>
              <w:spacing w:after="40" w:before="40" w:line="264" w:lineRule="auto"/>
            </w:pPr>
            <w:r/>
            <w:r>
              <w:rPr>
                <w:rFonts w:ascii="Calibri" w:hAnsi="Calibri"/>
                <w:b w:val="0"/>
                <w:i w:val="0"/>
                <w:color w:val="10151F"/>
                <w:sz w:val="18"/>
              </w:rPr>
              <w:t>Spatial duplicate</w:t>
            </w:r>
          </w:p>
        </w:tc>
        <w:tc>
          <w:tcPr>
            <w:tcW w:type="dxa" w:w="2381"/>
          </w:tcPr>
          <w:p>
            <w:pPr>
              <w:spacing w:after="40" w:before="40" w:line="264" w:lineRule="auto"/>
            </w:pPr>
            <w:r/>
            <w:r>
              <w:rPr>
                <w:rFonts w:ascii="Calibri" w:hAnsi="Calibri"/>
                <w:b w:val="0"/>
                <w:i w:val="0"/>
                <w:color w:val="10151F"/>
                <w:sz w:val="18"/>
              </w:rPr>
              <w:t>≤ 100 m</w:t>
            </w:r>
          </w:p>
        </w:tc>
        <w:tc>
          <w:tcPr>
            <w:tcW w:type="dxa" w:w="3969"/>
          </w:tcPr>
          <w:p>
            <w:pPr>
              <w:spacing w:after="40" w:before="40" w:line="264" w:lineRule="auto"/>
            </w:pPr>
            <w:r/>
            <w:r>
              <w:rPr>
                <w:rFonts w:ascii="Consolas" w:hAnsi="Consolas"/>
                <w:b w:val="0"/>
                <w:i w:val="0"/>
                <w:color w:val="10151F"/>
                <w:sz w:val="18"/>
              </w:rPr>
              <w:t>SPATIAL_DUPLICATE_RADIUS_METERS</w:t>
            </w:r>
          </w:p>
        </w:tc>
      </w:tr>
      <w:tr>
        <w:tc>
          <w:tcPr>
            <w:tcW w:type="dxa" w:w="2381"/>
          </w:tcPr>
          <w:p>
            <w:pPr>
              <w:spacing w:after="40" w:before="40" w:line="264" w:lineRule="auto"/>
            </w:pPr>
            <w:r/>
            <w:r>
              <w:rPr>
                <w:rFonts w:ascii="Calibri" w:hAnsi="Calibri"/>
                <w:b w:val="0"/>
                <w:i w:val="0"/>
                <w:color w:val="10151F"/>
                <w:sz w:val="18"/>
              </w:rPr>
              <w:t>Collusive bidding</w:t>
            </w:r>
          </w:p>
        </w:tc>
        <w:tc>
          <w:tcPr>
            <w:tcW w:type="dxa" w:w="2381"/>
          </w:tcPr>
          <w:p>
            <w:pPr>
              <w:spacing w:after="40" w:before="40" w:line="264" w:lineRule="auto"/>
            </w:pPr>
            <w:r/>
            <w:r>
              <w:rPr>
                <w:rFonts w:ascii="Calibri" w:hAnsi="Calibri"/>
                <w:b w:val="0"/>
                <w:i w:val="0"/>
                <w:color w:val="10151F"/>
                <w:sz w:val="18"/>
              </w:rPr>
              <w:t>≥ 2 shared tenders</w:t>
            </w:r>
          </w:p>
        </w:tc>
        <w:tc>
          <w:tcPr>
            <w:tcW w:type="dxa" w:w="3969"/>
          </w:tcPr>
          <w:p>
            <w:pPr>
              <w:spacing w:after="40" w:before="40" w:line="264" w:lineRule="auto"/>
            </w:pPr>
            <w:r/>
            <w:r>
              <w:rPr>
                <w:rFonts w:ascii="Consolas" w:hAnsi="Consolas"/>
                <w:b w:val="0"/>
                <w:i w:val="0"/>
                <w:color w:val="10151F"/>
                <w:sz w:val="18"/>
              </w:rPr>
              <w:t>CARTEL_MIN_SHARED_TENDERS</w:t>
            </w:r>
          </w:p>
        </w:tc>
      </w:tr>
      <w:tr>
        <w:tc>
          <w:tcPr>
            <w:tcW w:type="dxa" w:w="2381"/>
          </w:tcPr>
          <w:p>
            <w:pPr>
              <w:spacing w:after="40" w:before="40" w:line="264" w:lineRule="auto"/>
            </w:pPr>
            <w:r/>
            <w:r>
              <w:rPr>
                <w:rFonts w:ascii="Calibri" w:hAnsi="Calibri"/>
                <w:b w:val="0"/>
                <w:i w:val="0"/>
                <w:color w:val="10151F"/>
                <w:sz w:val="18"/>
              </w:rPr>
              <w:t>Price inflation</w:t>
            </w:r>
          </w:p>
        </w:tc>
        <w:tc>
          <w:tcPr>
            <w:tcW w:type="dxa" w:w="2381"/>
          </w:tcPr>
          <w:p>
            <w:pPr>
              <w:spacing w:after="40" w:before="40" w:line="264" w:lineRule="auto"/>
            </w:pPr>
            <w:r/>
            <w:r>
              <w:rPr>
                <w:rFonts w:ascii="Calibri" w:hAnsi="Calibri"/>
                <w:b w:val="0"/>
                <w:i w:val="0"/>
                <w:color w:val="10151F"/>
                <w:sz w:val="18"/>
              </w:rPr>
              <w:t>≥ 1.5× ceiling</w:t>
            </w:r>
          </w:p>
        </w:tc>
        <w:tc>
          <w:tcPr>
            <w:tcW w:type="dxa" w:w="3969"/>
          </w:tcPr>
          <w:p>
            <w:pPr>
              <w:spacing w:after="40" w:before="40" w:line="264" w:lineRule="auto"/>
            </w:pPr>
            <w:r/>
            <w:r>
              <w:rPr>
                <w:rFonts w:ascii="Consolas" w:hAnsi="Consolas"/>
                <w:b w:val="0"/>
                <w:i w:val="0"/>
                <w:color w:val="10151F"/>
                <w:sz w:val="18"/>
              </w:rPr>
              <w:t>PRICE_INFLATION_MULTIPLIER</w:t>
            </w:r>
          </w:p>
        </w:tc>
      </w:tr>
      <w:tr>
        <w:tc>
          <w:tcPr>
            <w:tcW w:type="dxa" w:w="2381"/>
          </w:tcPr>
          <w:p>
            <w:pPr>
              <w:spacing w:after="40" w:before="40" w:line="264" w:lineRule="auto"/>
            </w:pPr>
            <w:r/>
            <w:r>
              <w:rPr>
                <w:rFonts w:ascii="Calibri" w:hAnsi="Calibri"/>
                <w:b w:val="0"/>
                <w:i w:val="0"/>
                <w:color w:val="10151F"/>
                <w:sz w:val="18"/>
              </w:rPr>
              <w:t>Cost outlier</w:t>
            </w:r>
          </w:p>
        </w:tc>
        <w:tc>
          <w:tcPr>
            <w:tcW w:type="dxa" w:w="2381"/>
          </w:tcPr>
          <w:p>
            <w:pPr>
              <w:spacing w:after="40" w:before="40" w:line="264" w:lineRule="auto"/>
            </w:pPr>
            <w:r/>
            <w:r>
              <w:rPr>
                <w:rFonts w:ascii="Calibri" w:hAnsi="Calibri"/>
                <w:b w:val="0"/>
                <w:i w:val="0"/>
                <w:color w:val="10151F"/>
                <w:sz w:val="18"/>
              </w:rPr>
              <w:t>Z &gt; 2.5</w:t>
            </w:r>
          </w:p>
        </w:tc>
        <w:tc>
          <w:tcPr>
            <w:tcW w:type="dxa" w:w="3969"/>
          </w:tcPr>
          <w:p>
            <w:pPr>
              <w:spacing w:after="40" w:before="40" w:line="264" w:lineRule="auto"/>
            </w:pPr>
            <w:r/>
            <w:r>
              <w:rPr>
                <w:rFonts w:ascii="Consolas" w:hAnsi="Consolas"/>
                <w:b w:val="0"/>
                <w:i w:val="0"/>
                <w:color w:val="10151F"/>
                <w:sz w:val="18"/>
              </w:rPr>
              <w:t>PRICE_OUTLIER_Z_SCORE</w:t>
            </w:r>
          </w:p>
        </w:tc>
      </w:tr>
      <w:tr>
        <w:tc>
          <w:tcPr>
            <w:tcW w:type="dxa" w:w="2381"/>
          </w:tcPr>
          <w:p>
            <w:pPr>
              <w:spacing w:after="40" w:before="40" w:line="264" w:lineRule="auto"/>
            </w:pPr>
            <w:r/>
            <w:r>
              <w:rPr>
                <w:rFonts w:ascii="Calibri" w:hAnsi="Calibri"/>
                <w:b w:val="0"/>
                <w:i w:val="0"/>
                <w:color w:val="10151F"/>
                <w:sz w:val="18"/>
              </w:rPr>
              <w:t>Stagnation</w:t>
            </w:r>
          </w:p>
        </w:tc>
        <w:tc>
          <w:tcPr>
            <w:tcW w:type="dxa" w:w="2381"/>
          </w:tcPr>
          <w:p>
            <w:pPr>
              <w:spacing w:after="40" w:before="40" w:line="264" w:lineRule="auto"/>
            </w:pPr>
            <w:r/>
            <w:r>
              <w:rPr>
                <w:rFonts w:ascii="Calibri" w:hAnsi="Calibri"/>
                <w:b w:val="0"/>
                <w:i w:val="0"/>
                <w:color w:val="10151F"/>
                <w:sz w:val="18"/>
              </w:rPr>
              <w:t>≥ 180 days, &lt; 20%</w:t>
            </w:r>
          </w:p>
        </w:tc>
        <w:tc>
          <w:tcPr>
            <w:tcW w:type="dxa" w:w="3969"/>
          </w:tcPr>
          <w:p>
            <w:pPr>
              <w:spacing w:after="40" w:before="40" w:line="264" w:lineRule="auto"/>
            </w:pPr>
            <w:r/>
            <w:r>
              <w:rPr>
                <w:rFonts w:ascii="Consolas" w:hAnsi="Consolas"/>
                <w:b w:val="0"/>
                <w:i w:val="0"/>
                <w:color w:val="10151F"/>
                <w:sz w:val="18"/>
              </w:rPr>
              <w:t>STAGNATION_IDLE_DAYS</w:t>
            </w:r>
          </w:p>
        </w:tc>
      </w:tr>
      <w:tr>
        <w:tc>
          <w:tcPr>
            <w:tcW w:type="dxa" w:w="2381"/>
          </w:tcPr>
          <w:p>
            <w:pPr>
              <w:spacing w:after="40" w:before="40" w:line="264" w:lineRule="auto"/>
            </w:pPr>
            <w:r/>
            <w:r>
              <w:rPr>
                <w:rFonts w:ascii="Calibri" w:hAnsi="Calibri"/>
                <w:b w:val="0"/>
                <w:i w:val="0"/>
                <w:color w:val="10151F"/>
                <w:sz w:val="18"/>
              </w:rPr>
              <w:t>Idle funds</w:t>
            </w:r>
          </w:p>
        </w:tc>
        <w:tc>
          <w:tcPr>
            <w:tcW w:type="dxa" w:w="2381"/>
          </w:tcPr>
          <w:p>
            <w:pPr>
              <w:spacing w:after="40" w:before="40" w:line="264" w:lineRule="auto"/>
            </w:pPr>
            <w:r/>
            <w:r>
              <w:rPr>
                <w:rFonts w:ascii="Calibri" w:hAnsi="Calibri"/>
                <w:b w:val="0"/>
                <w:i w:val="0"/>
                <w:color w:val="10151F"/>
                <w:sz w:val="18"/>
              </w:rPr>
              <w:t>≥ ₹2.00 Cr unspent</w:t>
            </w:r>
          </w:p>
        </w:tc>
        <w:tc>
          <w:tcPr>
            <w:tcW w:type="dxa" w:w="3969"/>
          </w:tcPr>
          <w:p>
            <w:pPr>
              <w:spacing w:after="40" w:before="40" w:line="264" w:lineRule="auto"/>
            </w:pPr>
            <w:r/>
            <w:r>
              <w:rPr>
                <w:rFonts w:ascii="Consolas" w:hAnsi="Consolas"/>
                <w:b w:val="0"/>
                <w:i w:val="0"/>
                <w:color w:val="10151F"/>
                <w:sz w:val="18"/>
              </w:rPr>
              <w:t>IDLE_FUNDS_THRESHOLD_CR</w:t>
            </w:r>
          </w:p>
        </w:tc>
      </w:tr>
    </w:tbl>
    <w:p>
      <w:pPr>
        <w:spacing w:after="40"/>
      </w:pPr>
    </w:p>
    <w:p>
      <w:r>
        <w:br w:type="page"/>
      </w:r>
    </w:p>
    <w:p>
      <w:pPr>
        <w:pStyle w:val="Heading1"/>
        <w:spacing w:before="360" w:after="120"/>
        <w:pBdr>
          <w:bottom w:val="single" w:sz="6" w:space="6" w:color="E2E6EE"/>
        </w:pBdr>
      </w:pPr>
      <w:r>
        <w:rPr>
          <w:rFonts w:ascii="Georgia" w:hAnsi="Georgia"/>
          <w:b/>
          <w:color w:val="0F2544"/>
          <w:sz w:val="32"/>
        </w:rPr>
        <w:t>8.  The six confirmed findings</w:t>
      </w:r>
    </w:p>
    <w:p>
      <w:pPr>
        <w:spacing w:after="120" w:before="0"/>
      </w:pPr>
      <w:r>
        <w:rPr>
          <w:rFonts w:ascii="Calibri" w:hAnsi="Calibri"/>
          <w:b w:val="0"/>
          <w:i/>
          <w:color w:val="56607A"/>
          <w:sz w:val="19"/>
        </w:rPr>
        <w:t>The exact evidence strings stored in the database.</w:t>
      </w:r>
    </w:p>
    <w:p>
      <w:pPr>
        <w:spacing w:after="20" w:before="180"/>
      </w:pPr>
      <w:r>
        <w:rPr>
          <w:rFonts w:ascii="Consolas" w:hAnsi="Consolas"/>
          <w:b/>
          <w:color w:val="B3261E"/>
          <w:sz w:val="17"/>
        </w:rPr>
        <w:t xml:space="preserve">CRITICAL   </w:t>
      </w:r>
      <w:r>
        <w:rPr>
          <w:color w:val="56607A"/>
          <w:sz w:val="18"/>
        </w:rPr>
        <w:t>Spatial duplicate — Varanasi</w:t>
      </w:r>
    </w:p>
    <w:p>
      <w:pPr>
        <w:spacing w:after="20" w:before="0"/>
      </w:pPr>
      <w:r>
        <w:rPr>
          <w:rFonts w:ascii="Consolas" w:hAnsi="Consolas"/>
          <w:b/>
          <w:color w:val="B3261E"/>
          <w:sz w:val="34"/>
        </w:rPr>
        <w:t>45.0 m</w:t>
      </w:r>
    </w:p>
    <w:p>
      <w:pPr>
        <w:spacing w:after="80" w:before="0"/>
      </w:pPr>
      <w:r>
        <w:rPr>
          <w:rFonts w:ascii="Calibri" w:hAnsi="Calibri"/>
          <w:b w:val="0"/>
          <w:i w:val="0"/>
          <w:color w:val="56607A"/>
          <w:sz w:val="19"/>
        </w:rPr>
        <w:t>between two borewells of the same category, same ward</w:t>
      </w:r>
    </w:p>
    <w:p>
      <w:pPr>
        <w:spacing w:after="120" w:before="0"/>
        <w:shd w:val="clear" w:color="auto" w:fill="F4F6FA"/>
      </w:pPr>
      <w:r>
        <w:rPr>
          <w:rFonts w:ascii="Consolas" w:hAnsi="Consolas"/>
          <w:b w:val="0"/>
          <w:i w:val="0"/>
          <w:color w:val="10151F"/>
          <w:sz w:val="16"/>
        </w:rPr>
        <w:t>Haversine GPS Distance: 44.97m &lt;= 100.0m threshold. P1:(25.2818, 82.9995) vs P2:(25.2821, 82.9998).</w:t>
      </w:r>
    </w:p>
    <w:p>
      <w:pPr>
        <w:spacing w:after="20" w:before="180"/>
      </w:pPr>
      <w:r>
        <w:rPr>
          <w:rFonts w:ascii="Consolas" w:hAnsi="Consolas"/>
          <w:b/>
          <w:color w:val="B3261E"/>
          <w:sz w:val="17"/>
        </w:rPr>
        <w:t xml:space="preserve">CRITICAL   </w:t>
      </w:r>
      <w:r>
        <w:rPr>
          <w:color w:val="56607A"/>
          <w:sz w:val="18"/>
        </w:rPr>
        <w:t>Price inflation — Jaipur Rural</w:t>
      </w:r>
    </w:p>
    <w:p>
      <w:pPr>
        <w:spacing w:after="20" w:before="0"/>
      </w:pPr>
      <w:r>
        <w:rPr>
          <w:rFonts w:ascii="Consolas" w:hAnsi="Consolas"/>
          <w:b/>
          <w:color w:val="B3261E"/>
          <w:sz w:val="34"/>
        </w:rPr>
        <w:t>3.27x</w:t>
      </w:r>
    </w:p>
    <w:p>
      <w:pPr>
        <w:spacing w:after="80" w:before="0"/>
      </w:pPr>
      <w:r>
        <w:rPr>
          <w:rFonts w:ascii="Calibri" w:hAnsi="Calibri"/>
          <w:b w:val="0"/>
          <w:i w:val="0"/>
          <w:color w:val="56607A"/>
          <w:sz w:val="19"/>
        </w:rPr>
        <w:t>the official PWD ceiling for a village road</w:t>
      </w:r>
    </w:p>
    <w:p>
      <w:pPr>
        <w:spacing w:after="120" w:before="0"/>
        <w:shd w:val="clear" w:color="auto" w:fill="F4F6FA"/>
      </w:pPr>
      <w:r>
        <w:rPr>
          <w:rFonts w:ascii="Consolas" w:hAnsi="Consolas"/>
          <w:b w:val="0"/>
          <w:i w:val="0"/>
          <w:color w:val="10151F"/>
          <w:sz w:val="16"/>
        </w:rPr>
        <w:t>Sanctioned = Rs 54.0L, Max PWD Ceiling = Rs 16.5L. Price Ratio = 3.27x (Threshold is 1.5x).</w:t>
      </w:r>
    </w:p>
    <w:p>
      <w:pPr>
        <w:spacing w:after="20" w:before="180"/>
      </w:pPr>
      <w:r>
        <w:rPr>
          <w:rFonts w:ascii="Consolas" w:hAnsi="Consolas"/>
          <w:b/>
          <w:color w:val="8A5A00"/>
          <w:sz w:val="17"/>
        </w:rPr>
        <w:t xml:space="preserve">HIGH   </w:t>
      </w:r>
      <w:r>
        <w:rPr>
          <w:color w:val="56607A"/>
          <w:sz w:val="18"/>
        </w:rPr>
        <w:t>Fund stagnation — Bengaluru South</w:t>
      </w:r>
    </w:p>
    <w:p>
      <w:pPr>
        <w:spacing w:after="20" w:before="0"/>
      </w:pPr>
      <w:r>
        <w:rPr>
          <w:rFonts w:ascii="Consolas" w:hAnsi="Consolas"/>
          <w:b/>
          <w:color w:val="8A5A00"/>
          <w:sz w:val="34"/>
        </w:rPr>
        <w:t>693 days</w:t>
      </w:r>
    </w:p>
    <w:p>
      <w:pPr>
        <w:spacing w:after="80" w:before="0"/>
      </w:pPr>
      <w:r>
        <w:rPr>
          <w:rFonts w:ascii="Calibri" w:hAnsi="Calibri"/>
          <w:b w:val="0"/>
          <w:i w:val="0"/>
          <w:color w:val="56607A"/>
          <w:sz w:val="19"/>
        </w:rPr>
        <w:t>since sanction, at 5% physical progress</w:t>
      </w:r>
    </w:p>
    <w:p>
      <w:pPr>
        <w:spacing w:after="120" w:before="0"/>
        <w:shd w:val="clear" w:color="auto" w:fill="F4F6FA"/>
      </w:pPr>
      <w:r>
        <w:rPr>
          <w:rFonts w:ascii="Consolas" w:hAnsi="Consolas"/>
          <w:b w:val="0"/>
          <w:i w:val="0"/>
          <w:color w:val="10151F"/>
          <w:sz w:val="16"/>
        </w:rPr>
        <w:t>Elapsed Days = 693 &gt;= 180 Threshold. Progress = 5%.</w:t>
      </w:r>
    </w:p>
    <w:p>
      <w:pPr>
        <w:spacing w:after="20" w:before="180"/>
      </w:pPr>
      <w:r>
        <w:rPr>
          <w:rFonts w:ascii="Consolas" w:hAnsi="Consolas"/>
          <w:b/>
          <w:color w:val="8A5A00"/>
          <w:sz w:val="17"/>
        </w:rPr>
        <w:t xml:space="preserve">HIGH   </w:t>
      </w:r>
      <w:r>
        <w:rPr>
          <w:color w:val="56607A"/>
          <w:sz w:val="18"/>
        </w:rPr>
        <w:t>Collusive bidding — Patna Sahib (x3)</w:t>
      </w:r>
    </w:p>
    <w:p>
      <w:pPr>
        <w:spacing w:after="20" w:before="0"/>
      </w:pPr>
      <w:r>
        <w:rPr>
          <w:rFonts w:ascii="Consolas" w:hAnsi="Consolas"/>
          <w:b/>
          <w:color w:val="8A5A00"/>
          <w:sz w:val="34"/>
        </w:rPr>
        <w:t>100%</w:t>
      </w:r>
    </w:p>
    <w:p>
      <w:pPr>
        <w:spacing w:after="80" w:before="0"/>
      </w:pPr>
      <w:r>
        <w:rPr>
          <w:rFonts w:ascii="Calibri" w:hAnsi="Calibri"/>
          <w:b w:val="0"/>
          <w:i w:val="0"/>
          <w:color w:val="56607A"/>
          <w:sz w:val="19"/>
        </w:rPr>
        <w:t>Jaccard overlap between each contractor pair</w:t>
      </w:r>
    </w:p>
    <w:p>
      <w:pPr>
        <w:spacing w:after="120" w:before="0"/>
        <w:shd w:val="clear" w:color="auto" w:fill="F4F6FA"/>
      </w:pPr>
      <w:r>
        <w:rPr>
          <w:rFonts w:ascii="Consolas" w:hAnsi="Consolas"/>
          <w:b w:val="0"/>
          <w:i w:val="0"/>
          <w:color w:val="10151F"/>
          <w:sz w:val="16"/>
        </w:rPr>
        <w:t>Co-Bidding Frequency W(CONTR-05, CONTR-06) = 3 tenders &gt;= 2 threshold. Jaccard Index |A intersect B| / |A union B| = 3/3 = 100.0%.</w:t>
      </w:r>
    </w:p>
    <w:tbl>
      <w:tblPr>
        <w:tblW w:type="auto" w:w="0"/>
        <w:jc w:val="center"/>
        <w:tblLook w:firstColumn="1" w:firstRow="1" w:lastColumn="0" w:lastRow="0" w:noHBand="0" w:noVBand="1" w:val="04A0"/>
      </w:tblPr>
      <w:tblGrid>
        <w:gridCol w:w="9518"/>
      </w:tblGrid>
      <w:tr>
        <w:tc>
          <w:tcPr>
            <w:tcW w:type="dxa" w:w="9518"/>
            <w:tcBorders>
              <w:left w:val="single" w:sz="18" w:color="1B7F4B"/>
              <w:top w:val="single" w:sz="2" w:color="F1F8F4"/>
              <w:bottom w:val="single" w:sz="2" w:color="F1F8F4"/>
              <w:right w:val="single" w:sz="2" w:color="F1F8F4"/>
            </w:tcBorders>
          </w:tcPr>
          <w:p>
            <w:pPr>
              <w:spacing w:after="80"/>
            </w:pPr>
            <w:r/>
            <w:r>
              <w:rPr>
                <w:rFonts w:ascii="Calibri" w:hAnsi="Calibri"/>
                <w:b/>
                <w:color w:val="1B7F4B"/>
                <w:sz w:val="20"/>
              </w:rPr>
              <w:t>The Jaccard label was corrected</w:t>
            </w:r>
          </w:p>
          <w:p>
            <w:pPr>
              <w:spacing w:after="0" w:line="276" w:lineRule="auto"/>
            </w:pPr>
            <w:r>
              <w:rPr>
                <w:rFonts w:ascii="Calibri" w:hAnsi="Calibri"/>
                <w:b w:val="0"/>
                <w:i w:val="0"/>
                <w:color w:val="10151F"/>
                <w:sz w:val="19"/>
              </w:rPr>
              <w:t xml:space="preserve">An earlier build printed "Jaccard Bidding Overlap: 75.0%", which was actually shared ÷ total tenders — not the Jaccard index. The detector now computes the real thing: intersection over union. For the Patna trio that is </w:t>
            </w:r>
            <w:r>
              <w:rPr>
                <w:rFonts w:ascii="Calibri" w:hAnsi="Calibri"/>
                <w:b/>
                <w:i w:val="0"/>
                <w:color w:val="10151F"/>
                <w:sz w:val="19"/>
              </w:rPr>
              <w:t>3/3 = 100%</w:t>
            </w:r>
            <w:r>
              <w:rPr>
                <w:rFonts w:ascii="Calibri" w:hAnsi="Calibri"/>
                <w:b w:val="0"/>
                <w:i w:val="0"/>
                <w:color w:val="10151F"/>
                <w:sz w:val="19"/>
              </w:rPr>
              <w:t>, meaning neither contractor ever bid on a tender without the other. That is a much stronger signal, and the term is now used correctly.</w:t>
            </w:r>
          </w:p>
        </w:tc>
      </w:tr>
    </w:tbl>
    <w:p>
      <w:pPr>
        <w:spacing w:after="40"/>
      </w:pPr>
    </w:p>
    <w:p>
      <w:pPr>
        <w:spacing w:after="120" w:before="0"/>
      </w:pPr>
      <w:r>
        <w:rPr>
          <w:rFonts w:ascii="Calibri" w:hAnsi="Calibri"/>
          <w:b w:val="0"/>
          <w:i w:val="0"/>
          <w:color w:val="10151F"/>
          <w:sz w:val="20"/>
        </w:rPr>
        <w:t xml:space="preserve">The stagnation figure is computed from today's date, so </w:t>
      </w:r>
      <w:r>
        <w:rPr>
          <w:rFonts w:ascii="Calibri" w:hAnsi="Calibri"/>
          <w:b/>
          <w:i w:val="0"/>
          <w:color w:val="10151F"/>
          <w:sz w:val="20"/>
        </w:rPr>
        <w:t>693 days will have grown</w:t>
      </w:r>
      <w:r>
        <w:rPr>
          <w:rFonts w:ascii="Calibri" w:hAnsi="Calibri"/>
          <w:b w:val="0"/>
          <w:i w:val="0"/>
          <w:color w:val="10151F"/>
          <w:sz w:val="20"/>
        </w:rPr>
        <w:t xml:space="preserve"> by the time you present. Quote it as “over 690 days”, or just read what the screen shows.</w:t>
      </w:r>
    </w:p>
    <w:p>
      <w:r>
        <w:br w:type="page"/>
      </w:r>
    </w:p>
    <w:p>
      <w:pPr>
        <w:pStyle w:val="Heading1"/>
        <w:spacing w:before="360" w:after="120"/>
        <w:pBdr>
          <w:bottom w:val="single" w:sz="6" w:space="6" w:color="E2E6EE"/>
        </w:pBdr>
      </w:pPr>
      <w:r>
        <w:rPr>
          <w:rFonts w:ascii="Georgia" w:hAnsi="Georgia"/>
          <w:b/>
          <w:color w:val="0F2544"/>
          <w:sz w:val="32"/>
        </w:rPr>
        <w:t>9.  Questions the panel will ask</w:t>
      </w:r>
    </w:p>
    <w:p>
      <w:pPr>
        <w:pStyle w:val="Heading2"/>
        <w:spacing w:before="260" w:after="120"/>
      </w:pPr>
      <w:r>
        <w:rPr>
          <w:rFonts w:ascii="Georgia" w:hAnsi="Georgia"/>
          <w:b/>
          <w:color w:val="0F2544"/>
          <w:sz w:val="26"/>
        </w:rPr>
        <w:t>Database and architecture</w:t>
      </w:r>
    </w:p>
    <w:p>
      <w:pPr>
        <w:spacing w:after="60" w:before="180"/>
      </w:pPr>
      <w:r>
        <w:rPr>
          <w:rFonts w:ascii="Calibri" w:hAnsi="Calibri"/>
          <w:b/>
          <w:color w:val="0F2544"/>
          <w:sz w:val="20"/>
        </w:rPr>
        <w:t>Q.  Why SQL rather than a NoSQL database?</w:t>
      </w:r>
    </w:p>
    <w:p>
      <w:pPr>
        <w:spacing w:after="60" w:before="0"/>
        <w:ind w:left="280"/>
      </w:pPr>
      <w:r>
        <w:rPr>
          <w:rFonts w:ascii="Calibri" w:hAnsi="Calibri"/>
          <w:b w:val="0"/>
          <w:i w:val="0"/>
          <w:color w:val="10151F"/>
          <w:sz w:val="19"/>
        </w:rPr>
        <w:t xml:space="preserve">MPLADS data is deeply relational — a member recommends a work, a work has a tender, a tender has bids from contractors. SQL gives foreign-key integrity and indexed joins. Concretely, </w:t>
      </w:r>
      <w:r>
        <w:rPr>
          <w:rFonts w:ascii="Calibri" w:hAnsi="Calibri"/>
          <w:b/>
          <w:i w:val="0"/>
          <w:color w:val="10151F"/>
          <w:sz w:val="19"/>
        </w:rPr>
        <w:t>cartel detection is only possible because bids join to both tenders and contractors</w:t>
      </w:r>
      <w:r>
        <w:rPr>
          <w:rFonts w:ascii="Calibri" w:hAnsi="Calibri"/>
          <w:b w:val="0"/>
          <w:i w:val="0"/>
          <w:color w:val="10151F"/>
          <w:sz w:val="19"/>
        </w:rPr>
        <w:t>; in a document store we would be reimplementing joins by hand.</w:t>
      </w:r>
    </w:p>
    <w:p>
      <w:pPr>
        <w:spacing w:after="60" w:before="180"/>
      </w:pPr>
      <w:r>
        <w:rPr>
          <w:rFonts w:ascii="Calibri" w:hAnsi="Calibri"/>
          <w:b/>
          <w:color w:val="0F2544"/>
          <w:sz w:val="20"/>
        </w:rPr>
        <w:t>Q.  Why SQLite and not PostgreSQL?</w:t>
      </w:r>
    </w:p>
    <w:p>
      <w:pPr>
        <w:spacing w:after="60" w:before="0"/>
        <w:ind w:left="280"/>
      </w:pPr>
      <w:r>
        <w:rPr>
          <w:rFonts w:ascii="Calibri" w:hAnsi="Calibri"/>
          <w:b w:val="0"/>
          <w:i w:val="0"/>
          <w:color w:val="10151F"/>
          <w:sz w:val="19"/>
        </w:rPr>
        <w:t xml:space="preserve">For a prototype it needs no server, so the whole system runs with one command. The schema is standard SQL and the queries are portable — </w:t>
      </w:r>
      <w:r>
        <w:rPr>
          <w:rFonts w:ascii="Calibri" w:hAnsi="Calibri"/>
          <w:b/>
          <w:i w:val="0"/>
          <w:color w:val="10151F"/>
          <w:sz w:val="19"/>
        </w:rPr>
        <w:t>moving to PostgreSQL means changing the connection layer in database.py, not the detectors</w:t>
      </w:r>
      <w:r>
        <w:rPr>
          <w:rFonts w:ascii="Calibri" w:hAnsi="Calibri"/>
          <w:b w:val="0"/>
          <w:i w:val="0"/>
          <w:color w:val="10151F"/>
          <w:sz w:val="19"/>
        </w:rPr>
        <w:t>. For national deployment you would want Postgres with PostGIS.</w:t>
      </w:r>
    </w:p>
    <w:p>
      <w:pPr>
        <w:spacing w:after="60" w:before="180"/>
      </w:pPr>
      <w:r>
        <w:rPr>
          <w:rFonts w:ascii="Calibri" w:hAnsi="Calibri"/>
          <w:b/>
          <w:color w:val="0F2544"/>
          <w:sz w:val="20"/>
        </w:rPr>
        <w:t>Q.  How does this integrate with existing government systems?</w:t>
      </w:r>
    </w:p>
    <w:p>
      <w:pPr>
        <w:spacing w:after="60" w:before="0"/>
        <w:ind w:left="280"/>
      </w:pPr>
      <w:r>
        <w:rPr>
          <w:rFonts w:ascii="Calibri" w:hAnsi="Calibri"/>
          <w:b w:val="0"/>
          <w:i w:val="0"/>
          <w:color w:val="10151F"/>
          <w:sz w:val="19"/>
        </w:rPr>
        <w:t xml:space="preserve">It is built as a REST API with JSON endpoints, so it can consume from and expose to e-SAKSHI and PFMS. Open localhost:8000/docs — the OpenAPI specification is generated automatically and is callable from that page. </w:t>
      </w:r>
      <w:r>
        <w:rPr>
          <w:rFonts w:ascii="Calibri" w:hAnsi="Calibri"/>
          <w:b/>
          <w:i w:val="0"/>
          <w:color w:val="10151F"/>
          <w:sz w:val="19"/>
        </w:rPr>
        <w:t>Ingestion is already isolated in backend/ingest/</w:t>
      </w:r>
      <w:r>
        <w:rPr>
          <w:rFonts w:ascii="Calibri" w:hAnsi="Calibri"/>
          <w:b w:val="0"/>
          <w:i w:val="0"/>
          <w:color w:val="10151F"/>
          <w:sz w:val="19"/>
        </w:rPr>
        <w:t>, so replacing a CSV reader with a live API client touches one module.</w:t>
      </w:r>
    </w:p>
    <w:p>
      <w:pPr>
        <w:spacing w:after="60" w:before="180"/>
      </w:pPr>
      <w:r>
        <w:rPr>
          <w:rFonts w:ascii="Calibri" w:hAnsi="Calibri"/>
          <w:b/>
          <w:color w:val="0F2544"/>
          <w:sz w:val="20"/>
        </w:rPr>
        <w:t>Q.  Where is authentication and access control?</w:t>
      </w:r>
    </w:p>
    <w:p>
      <w:pPr>
        <w:spacing w:after="60" w:before="0"/>
        <w:ind w:left="280"/>
      </w:pPr>
      <w:r>
        <w:rPr>
          <w:rFonts w:ascii="Calibri" w:hAnsi="Calibri"/>
          <w:b w:val="0"/>
          <w:i w:val="0"/>
          <w:color w:val="10151F"/>
          <w:sz w:val="19"/>
        </w:rPr>
        <w:t xml:space="preserve">Not implemented — this is a prototype of the detection layer. In deployment it sits behind the ministry's existing SSO with role-based access, since a District Magistrate should see their district and MoSPI vigilance should see everything. </w:t>
      </w:r>
      <w:r>
        <w:rPr>
          <w:rFonts w:ascii="Calibri" w:hAnsi="Calibri"/>
          <w:b/>
          <w:i w:val="0"/>
          <w:color w:val="10151F"/>
          <w:sz w:val="19"/>
        </w:rPr>
        <w:t>Say plainly that it is not built rather than implying it is.</w:t>
      </w:r>
    </w:p>
    <w:p>
      <w:pPr>
        <w:pStyle w:val="Heading2"/>
        <w:spacing w:before="260" w:after="120"/>
      </w:pPr>
      <w:r>
        <w:rPr>
          <w:rFonts w:ascii="Georgia" w:hAnsi="Georgia"/>
          <w:b/>
          <w:color w:val="0F2544"/>
          <w:sz w:val="26"/>
        </w:rPr>
        <w:t>The algorithms</w:t>
      </w:r>
    </w:p>
    <w:p>
      <w:pPr>
        <w:spacing w:after="60" w:before="180"/>
      </w:pPr>
      <w:r>
        <w:rPr>
          <w:rFonts w:ascii="Calibri" w:hAnsi="Calibri"/>
          <w:b/>
          <w:color w:val="0F2544"/>
          <w:sz w:val="20"/>
        </w:rPr>
        <w:t>Q.  What if a contractor shifts the coordinates by fifty metres?</w:t>
      </w:r>
    </w:p>
    <w:p>
      <w:pPr>
        <w:spacing w:after="60" w:before="0"/>
        <w:ind w:left="280"/>
      </w:pPr>
      <w:r>
        <w:rPr>
          <w:rFonts w:ascii="Calibri" w:hAnsi="Calibri"/>
          <w:b w:val="0"/>
          <w:i w:val="0"/>
          <w:color w:val="10151F"/>
          <w:sz w:val="19"/>
        </w:rPr>
        <w:t xml:space="preserve">Our radius is 100 metres, so a fifty-metre shift is still caught. Push it beyond that and the fraud becomes harder — the asset has to be plausibly in a different location, which makes physical verification easier. </w:t>
      </w:r>
      <w:r>
        <w:rPr>
          <w:rFonts w:ascii="Calibri" w:hAnsi="Calibri"/>
          <w:b/>
          <w:i w:val="0"/>
          <w:color w:val="10151F"/>
          <w:sz w:val="19"/>
        </w:rPr>
        <w:t>We would also catch it on the cost and cartel dimensions</w:t>
      </w:r>
      <w:r>
        <w:rPr>
          <w:rFonts w:ascii="Calibri" w:hAnsi="Calibri"/>
          <w:b w:val="0"/>
          <w:i w:val="0"/>
          <w:color w:val="10151F"/>
          <w:sz w:val="19"/>
        </w:rPr>
        <w:t>, since evading one detector does not evade the others.</w:t>
      </w:r>
    </w:p>
    <w:p>
      <w:pPr>
        <w:spacing w:after="60" w:before="180"/>
      </w:pPr>
      <w:r>
        <w:rPr>
          <w:rFonts w:ascii="Calibri" w:hAnsi="Calibri"/>
          <w:b/>
          <w:color w:val="0F2544"/>
          <w:sz w:val="20"/>
        </w:rPr>
        <w:t>Q.  Why 100 metres? Why 180 days? Aren't those arbitrary?</w:t>
      </w:r>
    </w:p>
    <w:p>
      <w:pPr>
        <w:spacing w:after="60" w:before="0"/>
        <w:ind w:left="280"/>
      </w:pPr>
      <w:r>
        <w:rPr>
          <w:rFonts w:ascii="Calibri" w:hAnsi="Calibri"/>
          <w:b w:val="0"/>
          <w:i w:val="0"/>
          <w:color w:val="10151F"/>
          <w:sz w:val="19"/>
        </w:rPr>
        <w:t xml:space="preserve">They are starting values, and they are deliberately </w:t>
      </w:r>
      <w:r>
        <w:rPr>
          <w:rFonts w:ascii="Calibri" w:hAnsi="Calibri"/>
          <w:b/>
          <w:i w:val="0"/>
          <w:color w:val="10151F"/>
          <w:sz w:val="19"/>
        </w:rPr>
        <w:t>all in one file, backend/config.py</w:t>
      </w:r>
      <w:r>
        <w:rPr>
          <w:rFonts w:ascii="Calibri" w:hAnsi="Calibri"/>
          <w:b w:val="0"/>
          <w:i w:val="0"/>
          <w:color w:val="10151F"/>
          <w:sz w:val="19"/>
        </w:rPr>
        <w:t>, so they can be tuned per district without touching detection logic. In deployment these would be set by the auditing authority — a dense urban ward needs a tighter radius than a rural block. (Have that file open in a tab; being able to show it lands well.)</w:t>
      </w:r>
    </w:p>
    <w:p>
      <w:pPr>
        <w:spacing w:after="60" w:before="180"/>
      </w:pPr>
      <w:r>
        <w:rPr>
          <w:rFonts w:ascii="Calibri" w:hAnsi="Calibri"/>
          <w:b/>
          <w:color w:val="0F2544"/>
          <w:sz w:val="20"/>
        </w:rPr>
        <w:t>Q.  What is a Z-score, and why use it here?</w:t>
      </w:r>
    </w:p>
    <w:p>
      <w:pPr>
        <w:spacing w:after="60" w:before="0"/>
        <w:ind w:left="280"/>
      </w:pPr>
      <w:r>
        <w:rPr>
          <w:rFonts w:ascii="Calibri" w:hAnsi="Calibri"/>
          <w:b w:val="0"/>
          <w:i w:val="0"/>
          <w:color w:val="10151F"/>
          <w:sz w:val="19"/>
        </w:rPr>
        <w:t xml:space="preserve">It measures how many standard deviations a value sits from the mean. We flag above 2.5. It catches inflated costs in categories where </w:t>
      </w:r>
      <w:r>
        <w:rPr>
          <w:rFonts w:ascii="Calibri" w:hAnsi="Calibri"/>
          <w:b/>
          <w:i w:val="0"/>
          <w:color w:val="10151F"/>
          <w:sz w:val="19"/>
        </w:rPr>
        <w:t>the rate table might be missing or outdated</w:t>
      </w:r>
      <w:r>
        <w:rPr>
          <w:rFonts w:ascii="Calibri" w:hAnsi="Calibri"/>
          <w:b w:val="0"/>
          <w:i w:val="0"/>
          <w:color w:val="10151F"/>
          <w:sz w:val="19"/>
        </w:rPr>
        <w:t xml:space="preserve"> — the ceiling check needs a benchmark, the Z-score does not.</w:t>
      </w:r>
    </w:p>
    <w:p>
      <w:pPr>
        <w:spacing w:after="60" w:before="180"/>
      </w:pPr>
      <w:r>
        <w:rPr>
          <w:rFonts w:ascii="Calibri" w:hAnsi="Calibri"/>
          <w:b/>
          <w:color w:val="0F2544"/>
          <w:sz w:val="20"/>
        </w:rPr>
        <w:t>Q.  How does the cartel detection actually work?</w:t>
      </w:r>
    </w:p>
    <w:p>
      <w:pPr>
        <w:spacing w:after="60" w:before="0"/>
        <w:ind w:left="280"/>
      </w:pPr>
      <w:r>
        <w:rPr>
          <w:rFonts w:ascii="Calibri" w:hAnsi="Calibri"/>
          <w:b w:val="0"/>
          <w:i w:val="0"/>
          <w:color w:val="10151F"/>
          <w:sz w:val="19"/>
        </w:rPr>
        <w:t xml:space="preserve">We build a bipartite graph in NetworkX — contractors on one side, tenders on the other, bids as edges. For each pair we count shared tenders and compute the Jaccard index of their bidding histories. </w:t>
      </w:r>
      <w:r>
        <w:rPr>
          <w:rFonts w:ascii="Calibri" w:hAnsi="Calibri"/>
          <w:b/>
          <w:i w:val="0"/>
          <w:color w:val="10151F"/>
          <w:sz w:val="19"/>
        </w:rPr>
        <w:t>In our data three contractors each won exactly one of three tenders while the other two bid marginally higher</w:t>
      </w:r>
      <w:r>
        <w:rPr>
          <w:rFonts w:ascii="Calibri" w:hAnsi="Calibri"/>
          <w:b w:val="0"/>
          <w:i w:val="0"/>
          <w:color w:val="10151F"/>
          <w:sz w:val="19"/>
        </w:rPr>
        <w:t>, with 100% Jaccard overlap — textbook rotation.</w:t>
      </w:r>
    </w:p>
    <w:p>
      <w:pPr>
        <w:spacing w:after="60" w:before="180"/>
      </w:pPr>
      <w:r>
        <w:rPr>
          <w:rFonts w:ascii="Calibri" w:hAnsi="Calibri"/>
          <w:b/>
          <w:color w:val="0F2544"/>
          <w:sz w:val="20"/>
        </w:rPr>
        <w:t>Q.  Isn't co-bidding normal? Contractors in one district naturally compete.</w:t>
      </w:r>
    </w:p>
    <w:p>
      <w:pPr>
        <w:spacing w:after="60" w:before="0"/>
        <w:ind w:left="280"/>
      </w:pPr>
      <w:r>
        <w:rPr>
          <w:rFonts w:ascii="Calibri" w:hAnsi="Calibri"/>
          <w:b w:val="0"/>
          <w:i w:val="0"/>
          <w:color w:val="10151F"/>
          <w:sz w:val="19"/>
        </w:rPr>
        <w:t xml:space="preserve">Correct, and that is why this is a </w:t>
      </w:r>
      <w:r>
        <w:rPr>
          <w:rFonts w:ascii="Calibri" w:hAnsi="Calibri"/>
          <w:b/>
          <w:i w:val="0"/>
          <w:color w:val="10151F"/>
          <w:sz w:val="19"/>
        </w:rPr>
        <w:t>flag for investigation, not a conviction</w:t>
      </w:r>
      <w:r>
        <w:rPr>
          <w:rFonts w:ascii="Calibri" w:hAnsi="Calibri"/>
          <w:b w:val="0"/>
          <w:i w:val="0"/>
          <w:color w:val="10151F"/>
          <w:sz w:val="19"/>
        </w:rPr>
        <w:t>. Co-bidding frequency alone is weak evidence; combined with rotating wins and razor-thin margins it is worth a human looking. A better version would weight the margin between bids, which we have not built yet. (Conceding this properly is stronger than overclaiming.)</w:t>
      </w:r>
    </w:p>
    <w:p>
      <w:pPr>
        <w:pStyle w:val="Heading2"/>
        <w:spacing w:before="260" w:after="120"/>
      </w:pPr>
      <w:r>
        <w:rPr>
          <w:rFonts w:ascii="Georgia" w:hAnsi="Georgia"/>
          <w:b/>
          <w:color w:val="0F2544"/>
          <w:sz w:val="26"/>
        </w:rPr>
        <w:t>Scale and performance</w:t>
      </w:r>
    </w:p>
    <w:p>
      <w:pPr>
        <w:spacing w:after="60" w:before="180"/>
      </w:pPr>
      <w:r>
        <w:rPr>
          <w:rFonts w:ascii="Calibri" w:hAnsi="Calibri"/>
          <w:b/>
          <w:color w:val="0F2544"/>
          <w:sz w:val="20"/>
        </w:rPr>
        <w:t>Q.  Can this scale to all 543 constituencies and 50,000 works?</w:t>
      </w:r>
    </w:p>
    <w:p>
      <w:pPr>
        <w:spacing w:after="60" w:before="0"/>
        <w:ind w:left="280"/>
      </w:pPr>
      <w:r>
        <w:rPr>
          <w:rFonts w:ascii="Calibri" w:hAnsi="Calibri"/>
          <w:b w:val="0"/>
          <w:i w:val="0"/>
          <w:color w:val="10151F"/>
          <w:sz w:val="19"/>
        </w:rPr>
        <w:t xml:space="preserve">The constituency layer already runs at full national scale — all 543 are loaded. The works layer is at demo scale, 14 records. </w:t>
      </w:r>
      <w:r>
        <w:rPr>
          <w:rFonts w:ascii="Calibri" w:hAnsi="Calibri"/>
          <w:b/>
          <w:i w:val="0"/>
          <w:color w:val="10151F"/>
          <w:sz w:val="19"/>
        </w:rPr>
        <w:t>The honest answer: our spatial detector is O(n²) and would need spatial bucketing — grid or R-tree indexing — before 50,000 works.</w:t>
      </w:r>
      <w:r>
        <w:rPr>
          <w:rFonts w:ascii="Calibri" w:hAnsi="Calibri"/>
          <w:b w:val="0"/>
          <w:i w:val="0"/>
          <w:color w:val="10151F"/>
          <w:sz w:val="19"/>
        </w:rPr>
        <w:t xml:space="preserve"> That is a known, solved problem, but we have not implemented it. Do not claim “50,000 works in three seconds”; you cannot demonstrate it.</w:t>
      </w:r>
    </w:p>
    <w:p>
      <w:pPr>
        <w:spacing w:after="60" w:before="180"/>
      </w:pPr>
      <w:r>
        <w:rPr>
          <w:rFonts w:ascii="Calibri" w:hAnsi="Calibri"/>
          <w:b/>
          <w:color w:val="0F2544"/>
          <w:sz w:val="20"/>
        </w:rPr>
        <w:t>Q.  How fast is it currently?</w:t>
      </w:r>
    </w:p>
    <w:p>
      <w:pPr>
        <w:spacing w:after="60" w:before="0"/>
        <w:ind w:left="280"/>
      </w:pPr>
      <w:r>
        <w:rPr>
          <w:rFonts w:ascii="Calibri" w:hAnsi="Calibri"/>
          <w:b w:val="0"/>
          <w:i w:val="0"/>
          <w:color w:val="10151F"/>
          <w:sz w:val="19"/>
        </w:rPr>
        <w:t xml:space="preserve">A full audit — all four detectors across the entire database — completes in about </w:t>
      </w:r>
      <w:r>
        <w:rPr>
          <w:rFonts w:ascii="Calibri" w:hAnsi="Calibri"/>
          <w:b/>
          <w:i w:val="0"/>
          <w:color w:val="10151F"/>
          <w:sz w:val="19"/>
        </w:rPr>
        <w:t>110 milliseconds</w:t>
      </w:r>
      <w:r>
        <w:rPr>
          <w:rFonts w:ascii="Calibri" w:hAnsi="Calibri"/>
          <w:b w:val="0"/>
          <w:i w:val="0"/>
          <w:color w:val="10151F"/>
          <w:sz w:val="19"/>
        </w:rPr>
        <w:t>. You can run it live from the dashboard.</w:t>
      </w:r>
    </w:p>
    <w:p>
      <w:pPr>
        <w:pStyle w:val="Heading2"/>
        <w:spacing w:before="260" w:after="120"/>
      </w:pPr>
      <w:r>
        <w:rPr>
          <w:rFonts w:ascii="Georgia" w:hAnsi="Georgia"/>
          <w:b/>
          <w:color w:val="0F2544"/>
          <w:sz w:val="26"/>
        </w:rPr>
        <w:t>Methodology and AI</w:t>
      </w:r>
    </w:p>
    <w:p>
      <w:pPr>
        <w:spacing w:after="60" w:before="180"/>
      </w:pPr>
      <w:r>
        <w:rPr>
          <w:rFonts w:ascii="Calibri" w:hAnsi="Calibri"/>
          <w:b/>
          <w:color w:val="0F2544"/>
          <w:sz w:val="20"/>
        </w:rPr>
        <w:t>Q.  Where is the AI? This looks like rules and SQL.</w:t>
      </w:r>
    </w:p>
    <w:p>
      <w:pPr>
        <w:spacing w:after="100" w:before="0"/>
        <w:ind w:left="280"/>
      </w:pPr>
      <w:r>
        <w:rPr>
          <w:rFonts w:ascii="Calibri" w:hAnsi="Calibri"/>
          <w:b/>
          <w:i w:val="0"/>
          <w:color w:val="10151F"/>
          <w:sz w:val="19"/>
        </w:rPr>
        <w:t>The most likely hostile question. Do not get defensive.</w:t>
      </w:r>
    </w:p>
    <w:p>
      <w:pPr>
        <w:spacing w:after="100" w:before="0"/>
        <w:ind w:left="280"/>
      </w:pPr>
      <w:r>
        <w:rPr>
          <w:rFonts w:ascii="Calibri" w:hAnsi="Calibri"/>
          <w:b w:val="0"/>
          <w:i w:val="0"/>
          <w:color w:val="10151F"/>
          <w:sz w:val="19"/>
        </w:rPr>
        <w:t>"It is rule-based and statistical, and that is a deliberate choice. In a corruption inquiry, a finding an officer cannot independently recompute cannot be acted on — a black-box score that says 'this project is 0.87 suspicious' is useless in a departmental proceeding. Every alert we raise stores its own arithmetic. The system is built for evidentiary defensibility, not benchmark accuracy."</w:t>
      </w:r>
    </w:p>
    <w:p>
      <w:pPr>
        <w:spacing w:after="60" w:before="0"/>
        <w:ind w:left="280"/>
      </w:pPr>
      <w:r>
        <w:rPr>
          <w:rFonts w:ascii="Calibri" w:hAnsi="Calibri"/>
          <w:b w:val="0"/>
          <w:i w:val="0"/>
          <w:color w:val="10151F"/>
          <w:sz w:val="19"/>
        </w:rPr>
        <w:t>Then pivot forward: "Where machine learning would genuinely add value is anomaly detection across categories we have not written rules for, and that is the natural next layer — on top of this evidence base, not instead of it."</w:t>
      </w:r>
    </w:p>
    <w:p>
      <w:pPr>
        <w:spacing w:after="60" w:before="180"/>
      </w:pPr>
      <w:r>
        <w:rPr>
          <w:rFonts w:ascii="Calibri" w:hAnsi="Calibri"/>
          <w:b/>
          <w:color w:val="0F2544"/>
          <w:sz w:val="20"/>
        </w:rPr>
        <w:t>Q.  Why not deep learning?</w:t>
      </w:r>
    </w:p>
    <w:p>
      <w:pPr>
        <w:spacing w:after="60" w:before="0"/>
        <w:ind w:left="280"/>
      </w:pPr>
      <w:r>
        <w:rPr>
          <w:rFonts w:ascii="Calibri" w:hAnsi="Calibri"/>
          <w:b w:val="0"/>
          <w:i w:val="0"/>
          <w:color w:val="10151F"/>
          <w:sz w:val="19"/>
        </w:rPr>
        <w:t xml:space="preserve">Three reasons. There is </w:t>
      </w:r>
      <w:r>
        <w:rPr>
          <w:rFonts w:ascii="Calibri" w:hAnsi="Calibri"/>
          <w:b/>
          <w:i w:val="0"/>
          <w:color w:val="10151F"/>
          <w:sz w:val="19"/>
        </w:rPr>
        <w:t>no labelled corpus</w:t>
      </w:r>
      <w:r>
        <w:rPr>
          <w:rFonts w:ascii="Calibri" w:hAnsi="Calibri"/>
          <w:b w:val="0"/>
          <w:i w:val="0"/>
          <w:color w:val="10151F"/>
          <w:sz w:val="19"/>
        </w:rPr>
        <w:t xml:space="preserve"> of confirmed MPLADS fraud to train on. A neural model's output is not admissible reasoning in an inquiry. And with 14 demonstration works, any model would be fitting noise. </w:t>
      </w:r>
      <w:r>
        <w:rPr>
          <w:rFonts w:ascii="Calibri" w:hAnsi="Calibri"/>
          <w:b/>
          <w:i w:val="0"/>
          <w:color w:val="10151F"/>
          <w:sz w:val="19"/>
        </w:rPr>
        <w:t>Rules encode what auditors already know; ML would be needed for patterns nobody has articulated yet.</w:t>
      </w:r>
    </w:p>
    <w:p>
      <w:pPr>
        <w:spacing w:after="60" w:before="180"/>
      </w:pPr>
      <w:r>
        <w:rPr>
          <w:rFonts w:ascii="Calibri" w:hAnsi="Calibri"/>
          <w:b/>
          <w:color w:val="0F2544"/>
          <w:sz w:val="20"/>
        </w:rPr>
        <w:t>Q.  What is your false-positive rate?</w:t>
      </w:r>
    </w:p>
    <w:p>
      <w:pPr>
        <w:spacing w:after="60" w:before="0"/>
        <w:ind w:left="280"/>
      </w:pPr>
      <w:r>
        <w:rPr>
          <w:rFonts w:ascii="Calibri" w:hAnsi="Calibri"/>
          <w:b w:val="0"/>
          <w:i w:val="0"/>
          <w:color w:val="10151F"/>
          <w:sz w:val="19"/>
        </w:rPr>
        <w:t xml:space="preserve">We cannot compute one — that needs ground truth about which flagged projects were actually fraudulent, which does not exist publicly. </w:t>
      </w:r>
      <w:r>
        <w:rPr>
          <w:rFonts w:ascii="Calibri" w:hAnsi="Calibri"/>
          <w:b/>
          <w:i w:val="0"/>
          <w:color w:val="10151F"/>
          <w:sz w:val="19"/>
        </w:rPr>
        <w:t>What we can say is that our four confirmed detectors have zero false positives on our seeded data, because each fires only on cases we deliberately constructed.</w:t>
      </w:r>
      <w:r>
        <w:rPr>
          <w:rFonts w:ascii="Calibri" w:hAnsi="Calibri"/>
          <w:b w:val="0"/>
          <w:i w:val="0"/>
          <w:color w:val="10151F"/>
          <w:sz w:val="19"/>
        </w:rPr>
        <w:t xml:space="preserve"> That is a demonstration, not a validation. Real validation needs a pilot against audited historical cases.</w:t>
      </w:r>
    </w:p>
    <w:p>
      <w:pPr>
        <w:spacing w:after="60" w:before="180"/>
      </w:pPr>
      <w:r>
        <w:rPr>
          <w:rFonts w:ascii="Calibri" w:hAnsi="Calibri"/>
          <w:b/>
          <w:color w:val="0F2544"/>
          <w:sz w:val="20"/>
        </w:rPr>
        <w:t>Q.  Why are there 548 alerts if only six are real?</w:t>
      </w:r>
    </w:p>
    <w:p>
      <w:pPr>
        <w:spacing w:after="60" w:before="0"/>
        <w:ind w:left="280"/>
      </w:pPr>
      <w:r>
        <w:rPr>
          <w:rFonts w:ascii="Calibri" w:hAnsi="Calibri"/>
          <w:b w:val="0"/>
          <w:i w:val="0"/>
          <w:color w:val="10151F"/>
          <w:sz w:val="19"/>
        </w:rPr>
        <w:t xml:space="preserve">Answer directly. "542 of those are unspent-balance advisories. Our demo seed gives every constituency the same unspent ratio, so that rule fires almost universally — it is a threshold problem, not a detection problem. </w:t>
      </w:r>
      <w:r>
        <w:rPr>
          <w:rFonts w:ascii="Calibri" w:hAnsi="Calibri"/>
          <w:b/>
          <w:i w:val="0"/>
          <w:color w:val="10151F"/>
          <w:sz w:val="19"/>
        </w:rPr>
        <w:t>We report it in a separate advisory tier and exclude it from headline counts precisely so it does not drown the six real findings."</w:t>
      </w:r>
    </w:p>
    <w:p>
      <w:pPr>
        <w:pStyle w:val="Heading2"/>
        <w:spacing w:before="260" w:after="120"/>
      </w:pPr>
      <w:r>
        <w:rPr>
          <w:rFonts w:ascii="Georgia" w:hAnsi="Georgia"/>
          <w:b/>
          <w:color w:val="0F2544"/>
          <w:sz w:val="26"/>
        </w:rPr>
        <w:t>Impact and deployment</w:t>
      </w:r>
    </w:p>
    <w:p>
      <w:pPr>
        <w:spacing w:after="60" w:before="180"/>
      </w:pPr>
      <w:r>
        <w:rPr>
          <w:rFonts w:ascii="Calibri" w:hAnsi="Calibri"/>
          <w:b/>
          <w:color w:val="0F2544"/>
          <w:sz w:val="20"/>
        </w:rPr>
        <w:t>Q.  What happens after an anomaly is detected?</w:t>
      </w:r>
    </w:p>
    <w:p>
      <w:pPr>
        <w:spacing w:after="60" w:before="0"/>
        <w:ind w:left="280"/>
      </w:pPr>
      <w:r>
        <w:rPr>
          <w:rFonts w:ascii="Calibri" w:hAnsi="Calibri"/>
          <w:b w:val="0"/>
          <w:i w:val="0"/>
          <w:color w:val="10151F"/>
          <w:sz w:val="19"/>
        </w:rPr>
        <w:t>It is written to the anomalies table with a severity, appears on the map and in the triage feed, and carries a case reference and its evidence. In deployment that routes to the District Nodal Officer and the MoSPI vigilance cell — the schema already has an Open / Under Investigation / Resolved / Dismissed field.</w:t>
      </w:r>
    </w:p>
    <w:p>
      <w:pPr>
        <w:spacing w:after="60" w:before="180"/>
      </w:pPr>
      <w:r>
        <w:rPr>
          <w:rFonts w:ascii="Calibri" w:hAnsi="Calibri"/>
          <w:b/>
          <w:color w:val="0F2544"/>
          <w:sz w:val="20"/>
        </w:rPr>
        <w:t>Q.  Who uses this day to day?</w:t>
      </w:r>
    </w:p>
    <w:p>
      <w:pPr>
        <w:spacing w:after="60" w:before="0"/>
        <w:ind w:left="280"/>
      </w:pPr>
      <w:r>
        <w:rPr>
          <w:rFonts w:ascii="Calibri" w:hAnsi="Calibri"/>
          <w:b w:val="0"/>
          <w:i w:val="0"/>
          <w:color w:val="10151F"/>
          <w:sz w:val="19"/>
        </w:rPr>
        <w:t xml:space="preserve">District Magistrates and nodal officers reviewing their own constituencies, and MoSPI vigilance seeing the national picture. That is why the print view exists — </w:t>
      </w:r>
      <w:r>
        <w:rPr>
          <w:rFonts w:ascii="Calibri" w:hAnsi="Calibri"/>
          <w:b/>
          <w:i w:val="0"/>
          <w:color w:val="10151F"/>
          <w:sz w:val="19"/>
        </w:rPr>
        <w:t>officers still put paper on a file</w:t>
      </w:r>
      <w:r>
        <w:rPr>
          <w:rFonts w:ascii="Calibri" w:hAnsi="Calibri"/>
          <w:b w:val="0"/>
          <w:i w:val="0"/>
          <w:color w:val="10151F"/>
          <w:sz w:val="19"/>
        </w:rPr>
        <w:t>, and Ctrl+P produces a clean report.</w:t>
      </w:r>
    </w:p>
    <w:p>
      <w:pPr>
        <w:spacing w:after="60" w:before="180"/>
      </w:pPr>
      <w:r>
        <w:rPr>
          <w:rFonts w:ascii="Calibri" w:hAnsi="Calibri"/>
          <w:b/>
          <w:color w:val="0F2544"/>
          <w:sz w:val="20"/>
        </w:rPr>
        <w:t>Q.  What would you build next?</w:t>
      </w:r>
    </w:p>
    <w:p>
      <w:pPr>
        <w:spacing w:after="60" w:before="0"/>
        <w:ind w:left="280"/>
      </w:pPr>
      <w:r>
        <w:rPr>
          <w:rFonts w:ascii="Calibri" w:hAnsi="Calibri"/>
          <w:b w:val="0"/>
          <w:i w:val="0"/>
          <w:color w:val="10151F"/>
          <w:sz w:val="19"/>
        </w:rPr>
        <w:t xml:space="preserve">Three things, in order. </w:t>
      </w:r>
      <w:r>
        <w:rPr>
          <w:rFonts w:ascii="Calibri" w:hAnsi="Calibri"/>
          <w:b/>
          <w:i w:val="0"/>
          <w:color w:val="10151F"/>
          <w:sz w:val="19"/>
        </w:rPr>
        <w:t>Spatial indexing</w:t>
      </w:r>
      <w:r>
        <w:rPr>
          <w:rFonts w:ascii="Calibri" w:hAnsi="Calibri"/>
          <w:b w:val="0"/>
          <w:i w:val="0"/>
          <w:color w:val="10151F"/>
          <w:sz w:val="19"/>
        </w:rPr>
        <w:t xml:space="preserve"> so the duplicate detector scales nationally. </w:t>
      </w:r>
      <w:r>
        <w:rPr>
          <w:rFonts w:ascii="Calibri" w:hAnsi="Calibri"/>
          <w:b/>
          <w:i w:val="0"/>
          <w:color w:val="10151F"/>
          <w:sz w:val="19"/>
        </w:rPr>
        <w:t>Clique consolidation</w:t>
      </w:r>
      <w:r>
        <w:rPr>
          <w:rFonts w:ascii="Calibri" w:hAnsi="Calibri"/>
          <w:b w:val="0"/>
          <w:i w:val="0"/>
          <w:color w:val="10151F"/>
          <w:sz w:val="19"/>
        </w:rPr>
        <w:t xml:space="preserve"> so a cartel of three reports as one ring rather than three pairs. </w:t>
      </w:r>
      <w:r>
        <w:rPr>
          <w:rFonts w:ascii="Calibri" w:hAnsi="Calibri"/>
          <w:b/>
          <w:i w:val="0"/>
          <w:color w:val="10151F"/>
          <w:sz w:val="19"/>
        </w:rPr>
        <w:t>Live e-SAKSHI ingestion</w:t>
      </w:r>
      <w:r>
        <w:rPr>
          <w:rFonts w:ascii="Calibri" w:hAnsi="Calibri"/>
          <w:b w:val="0"/>
          <w:i w:val="0"/>
          <w:color w:val="10151F"/>
          <w:sz w:val="19"/>
        </w:rPr>
        <w:t xml:space="preserve"> replacing the CSV. Then real validation against historically audited cases.</w:t>
      </w:r>
    </w:p>
    <w:p>
      <w:r>
        <w:br w:type="page"/>
      </w:r>
    </w:p>
    <w:p>
      <w:pPr>
        <w:pStyle w:val="Heading1"/>
        <w:spacing w:before="360" w:after="120"/>
        <w:pBdr>
          <w:bottom w:val="single" w:sz="6" w:space="6" w:color="E2E6EE"/>
        </w:pBdr>
      </w:pPr>
      <w:r>
        <w:rPr>
          <w:rFonts w:ascii="Georgia" w:hAnsi="Georgia"/>
          <w:b/>
          <w:color w:val="0F2544"/>
          <w:sz w:val="32"/>
        </w:rPr>
        <w:t>10.  Known weak spots</w:t>
      </w:r>
    </w:p>
    <w:p>
      <w:pPr>
        <w:spacing w:after="120" w:before="0"/>
      </w:pPr>
      <w:r>
        <w:rPr>
          <w:rFonts w:ascii="Calibri" w:hAnsi="Calibri"/>
          <w:b w:val="0"/>
          <w:i/>
          <w:color w:val="56607A"/>
          <w:sz w:val="19"/>
        </w:rPr>
        <w:t>Every one of these is findable by a sharp judge. Knowing them beats being surprised by them.</w:t>
      </w: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1  ·  Advisory tier is 542 of 548 alerts</w:t>
            </w:r>
          </w:p>
          <w:p>
            <w:pPr>
              <w:spacing w:after="0" w:line="276" w:lineRule="auto"/>
            </w:pPr>
            <w:r>
              <w:rPr>
                <w:rFonts w:ascii="Calibri" w:hAnsi="Calibri"/>
                <w:b w:val="0"/>
                <w:i w:val="0"/>
                <w:color w:val="10151F"/>
                <w:sz w:val="19"/>
              </w:rPr>
              <w:t>Surfaced and labelled in the UI, which defuses it — but have the answer ready.</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2  ·  Pairs are not rings</w:t>
            </w:r>
          </w:p>
          <w:p>
            <w:pPr>
              <w:spacing w:after="0" w:line="276" w:lineRule="auto"/>
            </w:pPr>
            <w:r>
              <w:rPr>
                <w:rFonts w:ascii="Calibri" w:hAnsi="Calibri"/>
                <w:b w:val="0"/>
                <w:i w:val="0"/>
                <w:color w:val="10151F"/>
                <w:sz w:val="19"/>
              </w:rPr>
              <w:t>Say “co-bidding relationships”, or “one ring surfaced as three relationships”. Never “clique detection”.</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3  ·  14 works is small</w:t>
            </w:r>
          </w:p>
          <w:p>
            <w:pPr>
              <w:spacing w:after="0" w:line="276" w:lineRule="auto"/>
            </w:pPr>
            <w:r>
              <w:rPr>
                <w:rFonts w:ascii="Calibri" w:hAnsi="Calibri"/>
                <w:b w:val="0"/>
                <w:i w:val="0"/>
                <w:color w:val="10151F"/>
                <w:sz w:val="19"/>
              </w:rPr>
              <w:t>Lead with the 543 real constituencies. Be straightforward that the works are fixtures built to exercise each detector.</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8A5A00"/>
              <w:top w:val="single" w:sz="2" w:color="FDF8EC"/>
              <w:bottom w:val="single" w:sz="2" w:color="FDF8EC"/>
              <w:right w:val="single" w:sz="2" w:color="FDF8EC"/>
            </w:tcBorders>
          </w:tcPr>
          <w:p>
            <w:pPr>
              <w:spacing w:after="80"/>
            </w:pPr>
            <w:r/>
            <w:r>
              <w:rPr>
                <w:rFonts w:ascii="Calibri" w:hAnsi="Calibri"/>
                <w:b/>
                <w:color w:val="8A5A00"/>
                <w:sz w:val="20"/>
              </w:rPr>
              <w:t>4  ·  No auth, no live portal feed</w:t>
            </w:r>
          </w:p>
          <w:p>
            <w:pPr>
              <w:spacing w:after="0" w:line="276" w:lineRule="auto"/>
            </w:pPr>
            <w:r>
              <w:rPr>
                <w:rFonts w:ascii="Calibri" w:hAnsi="Calibri"/>
                <w:b w:val="0"/>
                <w:i w:val="0"/>
                <w:color w:val="10151F"/>
                <w:sz w:val="19"/>
              </w:rPr>
              <w:t>Both are deployment concerns, not detection concerns. Say so plainly.</w:t>
            </w:r>
          </w:p>
        </w:tc>
      </w:tr>
    </w:tbl>
    <w:p>
      <w:pPr>
        <w:spacing w:after="40"/>
      </w:pPr>
    </w:p>
    <w:tbl>
      <w:tblPr>
        <w:tblW w:type="auto" w:w="0"/>
        <w:jc w:val="center"/>
        <w:tblLook w:firstColumn="1" w:firstRow="1" w:lastColumn="0" w:lastRow="0" w:noHBand="0" w:noVBand="1" w:val="04A0"/>
      </w:tblPr>
      <w:tblGrid>
        <w:gridCol w:w="9518"/>
      </w:tblGrid>
      <w:tr>
        <w:tc>
          <w:tcPr>
            <w:tcW w:type="dxa" w:w="9518"/>
            <w:tcBorders>
              <w:left w:val="single" w:sz="18" w:color="1B7F4B"/>
              <w:top w:val="single" w:sz="2" w:color="F1F8F4"/>
              <w:bottom w:val="single" w:sz="2" w:color="F1F8F4"/>
              <w:right w:val="single" w:sz="2" w:color="F1F8F4"/>
            </w:tcBorders>
          </w:tcPr>
          <w:p>
            <w:pPr>
              <w:spacing w:after="80"/>
            </w:pPr>
            <w:r/>
            <w:r>
              <w:rPr>
                <w:rFonts w:ascii="Calibri" w:hAnsi="Calibri"/>
                <w:b/>
                <w:color w:val="1B7F4B"/>
                <w:sz w:val="20"/>
              </w:rPr>
              <w:t>The governing principle</w:t>
            </w:r>
          </w:p>
          <w:p>
            <w:pPr>
              <w:spacing w:after="0" w:line="276" w:lineRule="auto"/>
            </w:pPr>
            <w:r>
              <w:rPr>
                <w:rFonts w:ascii="Calibri" w:hAnsi="Calibri"/>
                <w:b w:val="0"/>
                <w:i w:val="0"/>
                <w:color w:val="10151F"/>
                <w:sz w:val="19"/>
              </w:rPr>
              <w:t xml:space="preserve">Judges forgive an incomplete prototype. </w:t>
            </w:r>
            <w:r>
              <w:rPr>
                <w:rFonts w:ascii="Calibri" w:hAnsi="Calibri"/>
                <w:b/>
                <w:i w:val="0"/>
                <w:color w:val="10151F"/>
                <w:sz w:val="19"/>
              </w:rPr>
              <w:t>They do not forgive a team that overstates what it built.</w:t>
            </w:r>
            <w:r>
              <w:rPr>
                <w:rFonts w:ascii="Calibri" w:hAnsi="Calibri"/>
                <w:b w:val="0"/>
                <w:i w:val="0"/>
                <w:color w:val="10151F"/>
                <w:sz w:val="19"/>
              </w:rPr>
              <w:t xml:space="preserve"> Every one of these is survivable if you raise it first — and fatal if a judge finds it after you claimed otherwise. Volunteering a limitation reads as engineering maturity, which is exactly what a ministry wants in an audit tool.</w:t>
            </w:r>
          </w:p>
        </w:tc>
      </w:tr>
    </w:tbl>
    <w:p>
      <w:pPr>
        <w:spacing w:after="40"/>
      </w:pPr>
    </w:p>
    <w:p>
      <w:r>
        <w:br w:type="page"/>
      </w:r>
    </w:p>
    <w:p>
      <w:pPr>
        <w:pStyle w:val="Heading1"/>
        <w:spacing w:before="360" w:after="120"/>
        <w:pBdr>
          <w:bottom w:val="single" w:sz="6" w:space="6" w:color="E2E6EE"/>
        </w:pBdr>
      </w:pPr>
      <w:r>
        <w:rPr>
          <w:rFonts w:ascii="Georgia" w:hAnsi="Georgia"/>
          <w:b/>
          <w:color w:val="0F2544"/>
          <w:sz w:val="32"/>
        </w:rPr>
        <w:t>11.  Pre-demo checklist</w:t>
      </w:r>
    </w:p>
    <w:p>
      <w:pPr>
        <w:spacing w:after="100" w:before="0"/>
      </w:pPr>
      <w:r>
        <w:rPr>
          <w:color w:val="56607A"/>
          <w:sz w:val="22"/>
        </w:rPr>
        <w:t xml:space="preserve">☐   </w:t>
      </w:r>
      <w:r>
        <w:rPr>
          <w:rFonts w:ascii="Calibri" w:hAnsi="Calibri"/>
          <w:b w:val="0"/>
          <w:i w:val="0"/>
          <w:color w:val="10151F"/>
          <w:sz w:val="20"/>
        </w:rPr>
        <w:t>python run.py starts with no traceback  (or open demo/nirmandrishti-demo.html)</w:t>
      </w:r>
    </w:p>
    <w:p>
      <w:pPr>
        <w:spacing w:after="100" w:before="0"/>
      </w:pPr>
      <w:r>
        <w:rPr>
          <w:color w:val="56607A"/>
          <w:sz w:val="22"/>
        </w:rPr>
        <w:t xml:space="preserve">☐   </w:t>
      </w:r>
      <w:r>
        <w:rPr>
          <w:rFonts w:ascii="Calibri" w:hAnsi="Calibri"/>
          <w:b w:val="0"/>
          <w:i w:val="0"/>
          <w:color w:val="10151F"/>
          <w:sz w:val="20"/>
        </w:rPr>
        <w:t>Browser open at localhost:8000, hard-refreshed with Ctrl+Shift+R</w:t>
      </w:r>
    </w:p>
    <w:p>
      <w:pPr>
        <w:spacing w:after="100" w:before="0"/>
      </w:pPr>
      <w:r>
        <w:rPr>
          <w:color w:val="56607A"/>
          <w:sz w:val="22"/>
        </w:rPr>
        <w:t xml:space="preserve">☐   </w:t>
      </w:r>
      <w:r>
        <w:rPr>
          <w:rFonts w:ascii="Calibri" w:hAnsi="Calibri"/>
          <w:b w:val="0"/>
          <w:i w:val="0"/>
          <w:color w:val="10151F"/>
          <w:sz w:val="20"/>
        </w:rPr>
        <w:t>Overview shows 6 confirmed findings — not a dash, not 548</w:t>
      </w:r>
    </w:p>
    <w:p>
      <w:pPr>
        <w:spacing w:after="100" w:before="0"/>
      </w:pPr>
      <w:r>
        <w:rPr>
          <w:color w:val="56607A"/>
          <w:sz w:val="22"/>
        </w:rPr>
        <w:t xml:space="preserve">☐   </w:t>
      </w:r>
      <w:r>
        <w:rPr>
          <w:rFonts w:ascii="Calibri" w:hAnsi="Calibri"/>
          <w:b w:val="0"/>
          <w:i w:val="0"/>
          <w:color w:val="10151F"/>
          <w:sz w:val="20"/>
        </w:rPr>
        <w:t>The map has loaded its tiles and shows coloured pins</w:t>
      </w:r>
    </w:p>
    <w:p>
      <w:pPr>
        <w:spacing w:after="100" w:before="0"/>
      </w:pPr>
      <w:r>
        <w:rPr>
          <w:color w:val="56607A"/>
          <w:sz w:val="22"/>
        </w:rPr>
        <w:t xml:space="preserve">☐   </w:t>
      </w:r>
      <w:r>
        <w:rPr>
          <w:rFonts w:ascii="Calibri" w:hAnsi="Calibri"/>
          <w:b w:val="0"/>
          <w:i w:val="0"/>
          <w:color w:val="10151F"/>
          <w:sz w:val="20"/>
        </w:rPr>
        <w:t>The co-bidding graph has rendered its nodes</w:t>
      </w:r>
    </w:p>
    <w:p>
      <w:pPr>
        <w:spacing w:after="100" w:before="0"/>
      </w:pPr>
      <w:r>
        <w:rPr>
          <w:color w:val="56607A"/>
          <w:sz w:val="22"/>
        </w:rPr>
        <w:t xml:space="preserve">☐   </w:t>
      </w:r>
      <w:r>
        <w:rPr>
          <w:rFonts w:ascii="Calibri" w:hAnsi="Calibri"/>
          <w:b w:val="0"/>
          <w:i w:val="0"/>
          <w:color w:val="10151F"/>
          <w:sz w:val="20"/>
        </w:rPr>
        <w:t>“Run audit” completes and shows the toast</w:t>
      </w:r>
    </w:p>
    <w:p>
      <w:pPr>
        <w:spacing w:after="100" w:before="0"/>
      </w:pPr>
      <w:r>
        <w:rPr>
          <w:color w:val="56607A"/>
          <w:sz w:val="22"/>
        </w:rPr>
        <w:t xml:space="preserve">☐   </w:t>
      </w:r>
      <w:r>
        <w:rPr>
          <w:rFonts w:ascii="Calibri" w:hAnsi="Calibri"/>
          <w:b w:val="0"/>
          <w:i w:val="0"/>
          <w:color w:val="10151F"/>
          <w:sz w:val="20"/>
        </w:rPr>
        <w:t>localhost:8000/docs opens, in case integration comes up</w:t>
      </w:r>
    </w:p>
    <w:p>
      <w:pPr>
        <w:spacing w:after="100" w:before="0"/>
      </w:pPr>
      <w:r>
        <w:rPr>
          <w:color w:val="56607A"/>
          <w:sz w:val="22"/>
        </w:rPr>
        <w:t xml:space="preserve">☐   </w:t>
      </w:r>
      <w:r>
        <w:rPr>
          <w:rFonts w:ascii="Calibri" w:hAnsi="Calibri"/>
          <w:b w:val="0"/>
          <w:i w:val="0"/>
          <w:color w:val="10151F"/>
          <w:sz w:val="20"/>
        </w:rPr>
        <w:t>backend/config.py is open in a tab, for the thresholds question</w:t>
      </w:r>
    </w:p>
    <w:p>
      <w:pPr>
        <w:spacing w:after="100" w:before="0"/>
      </w:pPr>
      <w:r>
        <w:rPr>
          <w:color w:val="56607A"/>
          <w:sz w:val="22"/>
        </w:rPr>
        <w:t xml:space="preserve">☐   </w:t>
      </w:r>
      <w:r>
        <w:rPr>
          <w:rFonts w:ascii="Calibri" w:hAnsi="Calibri"/>
          <w:b w:val="0"/>
          <w:i w:val="0"/>
          <w:color w:val="10151F"/>
          <w:sz w:val="20"/>
        </w:rPr>
        <w:t>Laptop on mains power, screen will not sleep</w:t>
      </w:r>
    </w:p>
    <w:p>
      <w:pPr>
        <w:spacing w:after="100" w:before="0"/>
      </w:pPr>
      <w:r>
        <w:rPr>
          <w:color w:val="56607A"/>
          <w:sz w:val="22"/>
        </w:rPr>
        <w:t xml:space="preserve">☐   </w:t>
      </w:r>
      <w:r>
        <w:rPr>
          <w:rFonts w:ascii="Calibri" w:hAnsi="Calibri"/>
          <w:b w:val="0"/>
          <w:i w:val="0"/>
          <w:color w:val="10151F"/>
          <w:sz w:val="20"/>
        </w:rPr>
        <w:t>Everyone knows: say SIX findings, never 548</w:t>
      </w:r>
    </w:p>
    <w:p>
      <w:pPr>
        <w:spacing w:after="100" w:before="0"/>
      </w:pPr>
      <w:r>
        <w:rPr>
          <w:color w:val="56607A"/>
          <w:sz w:val="22"/>
        </w:rPr>
        <w:t xml:space="preserve">☐   </w:t>
      </w:r>
      <w:r>
        <w:rPr>
          <w:rFonts w:ascii="Calibri" w:hAnsi="Calibri"/>
          <w:b w:val="0"/>
          <w:i w:val="0"/>
          <w:color w:val="10151F"/>
          <w:sz w:val="20"/>
        </w:rPr>
        <w:t>Nobody will say: Isolation Forest, Scikit-Learn, or clique</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015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