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E7CA8" w14:textId="77777777" w:rsidR="004777EB" w:rsidRDefault="00000000">
      <w:pPr>
        <w:spacing w:after="160"/>
        <w:jc w:val="center"/>
      </w:pPr>
      <w:r>
        <w:rPr>
          <w:b/>
          <w:bCs/>
          <w:sz w:val="28"/>
          <w:szCs w:val="28"/>
        </w:rPr>
        <w:t>Agentic AI for Explainable Clinical Decision Support: Transforming Healthcare Payment Integrity Through Intelligent Claims Review</w:t>
      </w:r>
    </w:p>
    <w:p w14:paraId="3B4DCC3C" w14:textId="77777777" w:rsidR="009C43B5" w:rsidRDefault="009C43B5">
      <w:pPr>
        <w:pStyle w:val="Heading1"/>
        <w:spacing w:before="140" w:after="90"/>
        <w:rPr>
          <w:sz w:val="24"/>
          <w:szCs w:val="24"/>
        </w:rPr>
      </w:pPr>
    </w:p>
    <w:p w14:paraId="4A70E829" w14:textId="4B9F5A08" w:rsidR="004777EB" w:rsidRPr="009C43B5" w:rsidRDefault="00000000">
      <w:pPr>
        <w:pStyle w:val="Heading1"/>
        <w:spacing w:before="140" w:after="90"/>
        <w:rPr>
          <w:sz w:val="24"/>
          <w:szCs w:val="24"/>
        </w:rPr>
      </w:pPr>
      <w:r w:rsidRPr="009C43B5">
        <w:rPr>
          <w:sz w:val="24"/>
          <w:szCs w:val="24"/>
        </w:rPr>
        <w:t>Introduction</w:t>
      </w:r>
    </w:p>
    <w:p w14:paraId="68875066" w14:textId="77777777" w:rsidR="004777EB" w:rsidRPr="009C43B5" w:rsidRDefault="00000000">
      <w:pPr>
        <w:spacing w:after="110" w:line="252" w:lineRule="auto"/>
        <w:jc w:val="both"/>
      </w:pPr>
      <w:r w:rsidRPr="009C43B5">
        <w:t>Healthcare organizations process millions of insurance claims each year, requiring reviewers to interpret physician documentation, diagnosis codes, procedure codes, payer policies, and regulatory guidelines before determining reimbursement decisions. Although rule-based automation has improved administrative efficiency, it often struggles with the complexity of unstructured clinical notes and the continuously evolving landscape of reimbursement policies. Consequently, many claims still require extensive manual review, resulting in higher operational costs, longer processing times, and inconsistent reimbursement decisions (</w:t>
      </w:r>
      <w:proofErr w:type="spellStart"/>
      <w:r w:rsidRPr="009C43B5">
        <w:t>Centers</w:t>
      </w:r>
      <w:proofErr w:type="spellEnd"/>
      <w:r w:rsidRPr="009C43B5">
        <w:t xml:space="preserve"> for Medicare &amp; Medicaid Services [CMS], 2024).</w:t>
      </w:r>
    </w:p>
    <w:p w14:paraId="2A243B4A" w14:textId="77777777" w:rsidR="004777EB" w:rsidRPr="009C43B5" w:rsidRDefault="00000000">
      <w:pPr>
        <w:spacing w:after="110" w:line="252" w:lineRule="auto"/>
        <w:jc w:val="both"/>
      </w:pPr>
      <w:r w:rsidRPr="009C43B5">
        <w:t>Recent advances in Generative Artificial Intelligence (GenAI), particularly Large Language Models (LLMs) and agentic AI systems, are transforming clinical decision support. Unlike traditional machine learning models that primarily generate predictions, agentic AI systems can perform multi-step reasoning, retrieve information from trusted knowledge sources, invoke specialized tools, and explain the rationale behind their recommendations. The 2026 Stanford AI Index highlights rapid progress in AI reasoning, real-world task execution, and enterprise deployment while emphasizing that governance, evaluation, and trustworthy deployment remain critical challenges (Stanford Institute for Human-</w:t>
      </w:r>
      <w:proofErr w:type="spellStart"/>
      <w:r w:rsidRPr="009C43B5">
        <w:t>Centered</w:t>
      </w:r>
      <w:proofErr w:type="spellEnd"/>
      <w:r w:rsidRPr="009C43B5">
        <w:t xml:space="preserve"> Artificial Intelligence [Stanford HAI], 2026). These developments make agentic AI particularly well suited for healthcare payment integrity, where transparency, consistency, explainability, and regulatory compliance are essential.</w:t>
      </w:r>
    </w:p>
    <w:p w14:paraId="4B033E61" w14:textId="77777777" w:rsidR="004777EB" w:rsidRPr="009C43B5" w:rsidRDefault="00000000">
      <w:pPr>
        <w:spacing w:after="110" w:line="252" w:lineRule="auto"/>
        <w:jc w:val="both"/>
      </w:pPr>
      <w:r w:rsidRPr="009C43B5">
        <w:t>Having built and debugged ICD-10 prediction pipelines across multiple radiology modalities, I have observed these dynamics firsthand: pipelines pairing an LLM extraction step with a deterministic, rule-based coding layer consistently outperform LLM-only approaches in both accuracy and auditability, which is the architecture this report recommends for Cotiviti at scale.</w:t>
      </w:r>
    </w:p>
    <w:p w14:paraId="6EF517CF" w14:textId="77777777" w:rsidR="009C43B5" w:rsidRDefault="009C43B5">
      <w:pPr>
        <w:pStyle w:val="Heading1"/>
        <w:spacing w:before="140" w:after="90"/>
        <w:rPr>
          <w:sz w:val="24"/>
          <w:szCs w:val="24"/>
        </w:rPr>
      </w:pPr>
    </w:p>
    <w:p w14:paraId="567CE76E" w14:textId="498ADAB4" w:rsidR="004777EB" w:rsidRPr="009C43B5" w:rsidRDefault="00000000">
      <w:pPr>
        <w:pStyle w:val="Heading1"/>
        <w:spacing w:before="140" w:after="90"/>
        <w:rPr>
          <w:sz w:val="24"/>
          <w:szCs w:val="24"/>
        </w:rPr>
      </w:pPr>
      <w:r w:rsidRPr="009C43B5">
        <w:rPr>
          <w:sz w:val="24"/>
          <w:szCs w:val="24"/>
        </w:rPr>
        <w:t>Current Trends in Clinical Decision Support</w:t>
      </w:r>
    </w:p>
    <w:p w14:paraId="10C738C9" w14:textId="31882C45" w:rsidR="004777EB" w:rsidRPr="009C43B5" w:rsidRDefault="00000000">
      <w:pPr>
        <w:spacing w:after="110" w:line="252" w:lineRule="auto"/>
        <w:jc w:val="both"/>
      </w:pPr>
      <w:r w:rsidRPr="009C43B5">
        <w:t xml:space="preserve">Clinical decision support has evolved from static rule-based expert systems toward intelligent AI assistants capable of reasoning across structured and unstructured healthcare data. Modern systems combine diagnosis codes (ICD-10), procedure codes (CPT), electronic health records (EHRs), laboratory results, physician notes, and payer policies </w:t>
      </w:r>
      <w:r w:rsidR="009E5BDA" w:rsidRPr="009E5BDA">
        <w:t>to assist reviewers in making accurate reimbursement decisions (Adams et al., 2024)</w:t>
      </w:r>
      <w:r w:rsidRPr="009C43B5">
        <w:t>.</w:t>
      </w:r>
    </w:p>
    <w:p w14:paraId="45DA37FB" w14:textId="77777777" w:rsidR="004777EB" w:rsidRPr="009C43B5" w:rsidRDefault="00000000">
      <w:pPr>
        <w:spacing w:after="110" w:line="252" w:lineRule="auto"/>
        <w:jc w:val="both"/>
      </w:pPr>
      <w:r w:rsidRPr="009C43B5">
        <w:t>A significant advancement is the adoption of Retrieval-Augmented Generation (RAG), an architecture that grounds LLM responses using authoritative knowledge rather than relying solely on model memory. Instead of producing recommendations without supporting evidence, RAG retrieves relevant clinical guidelines, coding manuals, or payer policies before generating a response. This architecture improves factual accuracy, reduces hallucinations, and provides evidence supporting AI recommendations (Lewis et al., 2020).</w:t>
      </w:r>
    </w:p>
    <w:p w14:paraId="5FA28487" w14:textId="77777777" w:rsidR="004777EB" w:rsidRPr="009C43B5" w:rsidRDefault="00000000">
      <w:pPr>
        <w:spacing w:after="110" w:line="252" w:lineRule="auto"/>
        <w:jc w:val="both"/>
      </w:pPr>
      <w:r w:rsidRPr="009C43B5">
        <w:t>Another emerging trend is agentic AI, in which multiple specialized AI agents collaborate to solve complex healthcare tasks. For example, one agent may extract diagnoses from physician documentation, another validates ICD-10 and CPT coding relationships, another retrieves applicable payer policies, and a reasoning agent synthesizes this information into an explainable recommendation. Recent research demonstrates that deployed agentic AI systems are becoming increasingly capable while highlighting the need for robust evaluation, transparency, and safety mechanisms before large-scale adoption in healthcare (Staufer et al., 2026).</w:t>
      </w:r>
    </w:p>
    <w:p w14:paraId="78C321E8" w14:textId="77777777" w:rsidR="004777EB" w:rsidRPr="009C43B5" w:rsidRDefault="00000000">
      <w:pPr>
        <w:spacing w:after="110" w:line="252" w:lineRule="auto"/>
        <w:jc w:val="both"/>
      </w:pPr>
      <w:r w:rsidRPr="009C43B5">
        <w:t xml:space="preserve">Healthcare organizations are also emphasizing Explainable AI (XAI) because reimbursement decisions directly affect providers, payers, and patients. AI-generated recommendations must therefore be </w:t>
      </w:r>
      <w:r w:rsidRPr="009C43B5">
        <w:lastRenderedPageBreak/>
        <w:t>transparent, reproducible, and supported by verifiable evidence rather than opaque model outputs. International guidance continues to recommend human oversight, accountability, and fairness as essential requirements for trustworthy AI deployment in healthcare (World Health Organization [WHO], 2021).</w:t>
      </w:r>
    </w:p>
    <w:p w14:paraId="380F99C5" w14:textId="77777777" w:rsidR="009C43B5" w:rsidRDefault="009C43B5">
      <w:pPr>
        <w:pStyle w:val="Heading1"/>
        <w:spacing w:before="140" w:after="90"/>
        <w:rPr>
          <w:sz w:val="24"/>
          <w:szCs w:val="24"/>
        </w:rPr>
      </w:pPr>
    </w:p>
    <w:p w14:paraId="70F8AC93" w14:textId="5929EA55" w:rsidR="004777EB" w:rsidRPr="009C43B5" w:rsidRDefault="00000000">
      <w:pPr>
        <w:pStyle w:val="Heading1"/>
        <w:spacing w:before="140" w:after="90"/>
        <w:rPr>
          <w:sz w:val="24"/>
          <w:szCs w:val="24"/>
        </w:rPr>
      </w:pPr>
      <w:r w:rsidRPr="009C43B5">
        <w:rPr>
          <w:sz w:val="24"/>
          <w:szCs w:val="24"/>
        </w:rPr>
        <w:t>Opportunities and Threats</w:t>
      </w:r>
    </w:p>
    <w:p w14:paraId="0F0187CE" w14:textId="77777777" w:rsidR="004777EB" w:rsidRPr="009C43B5" w:rsidRDefault="00000000">
      <w:pPr>
        <w:spacing w:after="110" w:line="252" w:lineRule="auto"/>
        <w:jc w:val="both"/>
      </w:pPr>
      <w:r w:rsidRPr="009C43B5">
        <w:t>Agentic AI presents significant opportunities across healthcare treatment, payment, and operations (TPO). Intelligent systems can summarize patient encounters, identify missing documentation, validate coding relationships, detect inconsistencies between diagnoses and procedures, and recommend reimbursement decisions supported by clinical evidence. NVIDIA's 2026 report indicates healthcare organizations are rapidly transitioning from experimental AI pilots to production deployments, with increasing adoption of generative and agentic AI for clinical documentation, workflow automation, and knowledge retrieval (NVIDIA, 2026).</w:t>
      </w:r>
    </w:p>
    <w:p w14:paraId="48C39BD0" w14:textId="77777777" w:rsidR="004777EB" w:rsidRPr="009C43B5" w:rsidRDefault="00000000">
      <w:pPr>
        <w:spacing w:after="110" w:line="252" w:lineRule="auto"/>
        <w:jc w:val="both"/>
      </w:pPr>
      <w:r w:rsidRPr="009C43B5">
        <w:t>In my own work building ICD-10 prediction pipelines for radiology claims, validated against golden datasets, coverage and accuracy improved substantially once deterministic rules were added to catch the non-deterministic edge cases an LLM alone misses. Closing that gap is exactly where Cotiviti's domain depth gives it an edge over generic AI vendors.</w:t>
      </w:r>
    </w:p>
    <w:p w14:paraId="133D5A53" w14:textId="77777777" w:rsidR="004777EB" w:rsidRPr="009C43B5" w:rsidRDefault="00000000">
      <w:pPr>
        <w:spacing w:after="110" w:line="252" w:lineRule="auto"/>
        <w:jc w:val="both"/>
      </w:pPr>
      <w:r w:rsidRPr="009C43B5">
        <w:t xml:space="preserve">Despite these advantages, real threats exist for a slow mover. </w:t>
      </w:r>
      <w:proofErr w:type="spellStart"/>
      <w:r w:rsidRPr="009C43B5">
        <w:t>Insurtechs</w:t>
      </w:r>
      <w:proofErr w:type="spellEnd"/>
      <w:r w:rsidRPr="009C43B5">
        <w:t xml:space="preserve"> and large EHR vendors are already embedding similar agentic copilots into clinical workflows, narrowing Cotiviti's window for first-mover advantage in payment integrity. Regulatory scrutiny of AI-driven reimbursement decisions is intensifying; a denial that cannot be explained invites provider appeals, payer disputes, and reputational damage. LLMs may generate unsupported conclusions if not grounded in trusted knowledge, and a visible failure could erode payer-provider trust in AI-assisted review broadly. Organizations must also ensure HIPAA compliance and maintain audit trails for regulatory review. The most effective implementations are therefore human-in-the-loop, with AI augmenting reviewers rather than replacing them (WHO, 2021).</w:t>
      </w:r>
    </w:p>
    <w:p w14:paraId="46F25168" w14:textId="77777777" w:rsidR="009C43B5" w:rsidRDefault="009C43B5">
      <w:pPr>
        <w:pStyle w:val="Heading1"/>
        <w:spacing w:before="140" w:after="90"/>
        <w:rPr>
          <w:sz w:val="24"/>
          <w:szCs w:val="24"/>
        </w:rPr>
      </w:pPr>
    </w:p>
    <w:p w14:paraId="33BEDAE0" w14:textId="501B6B5B" w:rsidR="004777EB" w:rsidRPr="009C43B5" w:rsidRDefault="00000000">
      <w:pPr>
        <w:pStyle w:val="Heading1"/>
        <w:spacing w:before="140" w:after="90"/>
        <w:rPr>
          <w:sz w:val="24"/>
          <w:szCs w:val="24"/>
        </w:rPr>
      </w:pPr>
      <w:r w:rsidRPr="009C43B5">
        <w:rPr>
          <w:sz w:val="24"/>
          <w:szCs w:val="24"/>
        </w:rPr>
        <w:t>Strategic Recommendation for Cotiviti</w:t>
      </w:r>
    </w:p>
    <w:p w14:paraId="3BDF8A1C" w14:textId="77777777" w:rsidR="004777EB" w:rsidRPr="009C43B5" w:rsidRDefault="00000000">
      <w:pPr>
        <w:spacing w:after="110" w:line="252" w:lineRule="auto"/>
        <w:jc w:val="both"/>
      </w:pPr>
      <w:r w:rsidRPr="009C43B5">
        <w:t xml:space="preserve">Cotiviti's leadership in healthcare payment integrity positions the company to benefit from an Explainable Claims Review Copilot built on agentic AI principles. Rather than replacing existing workflows, the solution should function as an intelligent assistant that retrieves relevant payer policies, </w:t>
      </w:r>
      <w:proofErr w:type="spellStart"/>
      <w:r w:rsidRPr="009C43B5">
        <w:t>analyzes</w:t>
      </w:r>
      <w:proofErr w:type="spellEnd"/>
      <w:r w:rsidRPr="009C43B5">
        <w:t xml:space="preserve"> physician documentation, validates ICD-10 and CPT coding relationships, identifies missing documentation, estimates confidence scores, and generates explainable recommendations supported by evidence.</w:t>
      </w:r>
    </w:p>
    <w:p w14:paraId="09C219A2" w14:textId="77777777" w:rsidR="004777EB" w:rsidRPr="009C43B5" w:rsidRDefault="00000000">
      <w:pPr>
        <w:spacing w:after="110" w:line="252" w:lineRule="auto"/>
        <w:jc w:val="both"/>
      </w:pPr>
      <w:r w:rsidRPr="009C43B5">
        <w:t>A concrete architecture, consistent with multi-modality pipelines I have built in practice, would chain four agents: extraction (diagnoses per claim type, e.g., X-ray, CT), coding validation (ICD-10/CPT checks against deterministic rules), policy retrieval (grounding via RAG), and synthesis (a confidence-scored recommendation). Low-confidence or conflicting claims should escalate automatically to human reviewers.</w:t>
      </w:r>
    </w:p>
    <w:p w14:paraId="765E1DEF" w14:textId="77777777" w:rsidR="004777EB" w:rsidRPr="009C43B5" w:rsidRDefault="00000000">
      <w:pPr>
        <w:spacing w:after="110" w:line="252" w:lineRule="auto"/>
        <w:jc w:val="both"/>
      </w:pPr>
      <w:r w:rsidRPr="009C43B5">
        <w:t>Cotiviti should pursue this in phases: pilot on a single, well-understood claim type with an existing golden dataset, then expand once accuracy thresholds are met. This would improve reviewer productivity, reduce processing time, and build a foundation for future capabilities including fraud detection, prior authorization, and risk adjustment (Cotiviti, 2025). By investing in this Explainable Claims Review Copilot, built on human-in-the-loop decision making, Cotiviti can strengthen its leadership in payment integrity while delivering measurable value to payers, providers, and patients.</w:t>
      </w:r>
    </w:p>
    <w:p w14:paraId="13AF61F9" w14:textId="77777777" w:rsidR="004777EB" w:rsidRDefault="00000000">
      <w:r>
        <w:br w:type="page"/>
      </w:r>
    </w:p>
    <w:p w14:paraId="3EE6CEE4" w14:textId="379BD4F9" w:rsidR="0057559C" w:rsidRDefault="00000000" w:rsidP="0057559C">
      <w:pPr>
        <w:spacing w:after="160"/>
        <w:jc w:val="center"/>
        <w:rPr>
          <w:b/>
          <w:bCs/>
          <w:sz w:val="28"/>
          <w:szCs w:val="28"/>
        </w:rPr>
      </w:pPr>
      <w:r>
        <w:rPr>
          <w:b/>
          <w:bCs/>
          <w:sz w:val="28"/>
          <w:szCs w:val="28"/>
        </w:rPr>
        <w:lastRenderedPageBreak/>
        <w:t>References</w:t>
      </w:r>
    </w:p>
    <w:p w14:paraId="4F510C72" w14:textId="77777777" w:rsidR="0057559C" w:rsidRPr="0057559C" w:rsidRDefault="0057559C" w:rsidP="0057559C">
      <w:pPr>
        <w:spacing w:after="160"/>
        <w:jc w:val="center"/>
        <w:rPr>
          <w:b/>
          <w:bCs/>
          <w:sz w:val="4"/>
          <w:szCs w:val="4"/>
        </w:rPr>
      </w:pPr>
    </w:p>
    <w:p w14:paraId="2239E7F1" w14:textId="115543FF" w:rsidR="009E5BDA" w:rsidRDefault="009E5BDA" w:rsidP="009C43B5">
      <w:pPr>
        <w:pStyle w:val="ListParagraph"/>
        <w:numPr>
          <w:ilvl w:val="0"/>
          <w:numId w:val="2"/>
        </w:numPr>
        <w:spacing w:after="160" w:line="276" w:lineRule="auto"/>
        <w:jc w:val="both"/>
      </w:pPr>
      <w:r w:rsidRPr="009E5BDA">
        <w:t xml:space="preserve">Adams, L., Fontaine, E., Lin, S., Crowell, T., Chung, V. C. H., &amp; Gonzalez, A. A. (2024). </w:t>
      </w:r>
      <w:r w:rsidRPr="009E5BDA">
        <w:rPr>
          <w:i/>
          <w:iCs/>
        </w:rPr>
        <w:t>Artificial intelligence in health, health care, and biomedical science: An AI code of conduct framework principles and commitments discussion draft.</w:t>
      </w:r>
      <w:r w:rsidRPr="009E5BDA">
        <w:t xml:space="preserve"> NAM Perspectives. </w:t>
      </w:r>
      <w:hyperlink r:id="rId5" w:history="1">
        <w:r w:rsidRPr="009E5BDA">
          <w:rPr>
            <w:rStyle w:val="Hyperlink"/>
          </w:rPr>
          <w:t>https://doi.org/10.31478/202403a</w:t>
        </w:r>
      </w:hyperlink>
    </w:p>
    <w:p w14:paraId="375D1FA7" w14:textId="5017202B" w:rsidR="004777EB" w:rsidRDefault="00000000" w:rsidP="009C43B5">
      <w:pPr>
        <w:pStyle w:val="ListParagraph"/>
        <w:numPr>
          <w:ilvl w:val="0"/>
          <w:numId w:val="2"/>
        </w:numPr>
        <w:spacing w:after="160" w:line="276" w:lineRule="auto"/>
        <w:jc w:val="both"/>
      </w:pPr>
      <w:proofErr w:type="spellStart"/>
      <w:r>
        <w:t>Centers</w:t>
      </w:r>
      <w:proofErr w:type="spellEnd"/>
      <w:r>
        <w:t xml:space="preserve"> for Medicare &amp; Medicaid Services. (2024). Medicare claims processing manual. https://www.cms.gov</w:t>
      </w:r>
    </w:p>
    <w:p w14:paraId="0A941520" w14:textId="77777777" w:rsidR="004777EB" w:rsidRDefault="00000000" w:rsidP="009C43B5">
      <w:pPr>
        <w:pStyle w:val="ListParagraph"/>
        <w:numPr>
          <w:ilvl w:val="0"/>
          <w:numId w:val="2"/>
        </w:numPr>
        <w:spacing w:after="160" w:line="276" w:lineRule="auto"/>
        <w:jc w:val="both"/>
      </w:pPr>
      <w:r>
        <w:t>Cotiviti. (2025). Payment integrity solutions. https://www.cotiviti.com</w:t>
      </w:r>
    </w:p>
    <w:p w14:paraId="6DFB1CBA" w14:textId="77777777" w:rsidR="004777EB" w:rsidRDefault="00000000" w:rsidP="009C43B5">
      <w:pPr>
        <w:pStyle w:val="ListParagraph"/>
        <w:numPr>
          <w:ilvl w:val="0"/>
          <w:numId w:val="2"/>
        </w:numPr>
        <w:spacing w:after="160" w:line="276" w:lineRule="auto"/>
        <w:jc w:val="both"/>
      </w:pPr>
      <w:r>
        <w:t xml:space="preserve">Lewis, P., Perez, E., </w:t>
      </w:r>
      <w:proofErr w:type="spellStart"/>
      <w:r>
        <w:t>Piktus</w:t>
      </w:r>
      <w:proofErr w:type="spellEnd"/>
      <w:r>
        <w:t xml:space="preserve">, A., Petroni, F., </w:t>
      </w:r>
      <w:proofErr w:type="spellStart"/>
      <w:r>
        <w:t>Karpukhin</w:t>
      </w:r>
      <w:proofErr w:type="spellEnd"/>
      <w:r>
        <w:t xml:space="preserve">, V., Goyal, N., </w:t>
      </w:r>
      <w:proofErr w:type="spellStart"/>
      <w:r>
        <w:t>Küttler</w:t>
      </w:r>
      <w:proofErr w:type="spellEnd"/>
      <w:r>
        <w:t xml:space="preserve">, H., Lewis, M., Yih, W.-t., </w:t>
      </w:r>
      <w:proofErr w:type="spellStart"/>
      <w:r>
        <w:t>Rocktäschel</w:t>
      </w:r>
      <w:proofErr w:type="spellEnd"/>
      <w:r>
        <w:t>, T., Riedel, S., &amp; Kiela, D. (2020). Retrieval-augmented generation for knowledge-intensive NLP tasks. Advances in Neural Information Processing Systems, 33, 9459–9474. https://arxiv.org/abs/2005.11401</w:t>
      </w:r>
    </w:p>
    <w:p w14:paraId="29B95649" w14:textId="77777777" w:rsidR="004777EB" w:rsidRDefault="00000000" w:rsidP="009C43B5">
      <w:pPr>
        <w:pStyle w:val="ListParagraph"/>
        <w:numPr>
          <w:ilvl w:val="0"/>
          <w:numId w:val="2"/>
        </w:numPr>
        <w:spacing w:after="160" w:line="276" w:lineRule="auto"/>
        <w:jc w:val="both"/>
      </w:pPr>
      <w:r>
        <w:t>NVIDIA. (2026). State of AI in healthcare and life sciences: 2026 trends. https://www.nvidia.com/content/dam/en-zz/Solutions/lp/survey-report/healthcare-state-of-ai-report-2026-4559650-web.pdf</w:t>
      </w:r>
    </w:p>
    <w:p w14:paraId="462FF2DB" w14:textId="77777777" w:rsidR="004777EB" w:rsidRDefault="00000000" w:rsidP="009C43B5">
      <w:pPr>
        <w:pStyle w:val="ListParagraph"/>
        <w:numPr>
          <w:ilvl w:val="0"/>
          <w:numId w:val="2"/>
        </w:numPr>
        <w:spacing w:after="160" w:line="276" w:lineRule="auto"/>
        <w:jc w:val="both"/>
      </w:pPr>
      <w:r>
        <w:t>Stanford Institute for Human-</w:t>
      </w:r>
      <w:proofErr w:type="spellStart"/>
      <w:r>
        <w:t>Centered</w:t>
      </w:r>
      <w:proofErr w:type="spellEnd"/>
      <w:r>
        <w:t xml:space="preserve"> Artificial Intelligence. (2026). AI index report 2026. https://hai.stanford.edu/ai-index/2026-ai-index-report</w:t>
      </w:r>
    </w:p>
    <w:p w14:paraId="38848836" w14:textId="77777777" w:rsidR="004777EB" w:rsidRDefault="00000000" w:rsidP="009C43B5">
      <w:pPr>
        <w:pStyle w:val="ListParagraph"/>
        <w:numPr>
          <w:ilvl w:val="0"/>
          <w:numId w:val="2"/>
        </w:numPr>
        <w:spacing w:after="160" w:line="276" w:lineRule="auto"/>
        <w:jc w:val="both"/>
      </w:pPr>
      <w:r>
        <w:t xml:space="preserve">Staufer, L., Feng, K., Wei, K., et al. (2026). The 2025 AI agent index: Documenting technical and safety features of deployed agentic AI systems. </w:t>
      </w:r>
      <w:proofErr w:type="spellStart"/>
      <w:r>
        <w:t>arXiv</w:t>
      </w:r>
      <w:proofErr w:type="spellEnd"/>
      <w:r>
        <w:t>. https://arxiv.org/abs/2602.17753</w:t>
      </w:r>
    </w:p>
    <w:p w14:paraId="4F6A527D" w14:textId="77777777" w:rsidR="004777EB" w:rsidRDefault="00000000" w:rsidP="009C43B5">
      <w:pPr>
        <w:pStyle w:val="ListParagraph"/>
        <w:numPr>
          <w:ilvl w:val="0"/>
          <w:numId w:val="2"/>
        </w:numPr>
        <w:spacing w:after="160" w:line="276" w:lineRule="auto"/>
        <w:jc w:val="both"/>
      </w:pPr>
      <w:r>
        <w:t>World Health Organization. (2021). Ethics and governance of artificial intelligence for health. https://www.who.int/publications/i/item/9789240029200</w:t>
      </w:r>
    </w:p>
    <w:sectPr w:rsidR="004777EB" w:rsidSect="009C43B5">
      <w:pgSz w:w="12240" w:h="15840"/>
      <w:pgMar w:top="851" w:right="1077" w:bottom="851" w:left="107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C07B2"/>
    <w:multiLevelType w:val="hybridMultilevel"/>
    <w:tmpl w:val="C4B62F6E"/>
    <w:lvl w:ilvl="0" w:tplc="F44E00D6">
      <w:start w:val="1"/>
      <w:numFmt w:val="bullet"/>
      <w:lvlText w:val="●"/>
      <w:lvlJc w:val="left"/>
      <w:pPr>
        <w:ind w:left="720" w:hanging="360"/>
      </w:pPr>
    </w:lvl>
    <w:lvl w:ilvl="1" w:tplc="63227882">
      <w:start w:val="1"/>
      <w:numFmt w:val="bullet"/>
      <w:lvlText w:val="○"/>
      <w:lvlJc w:val="left"/>
      <w:pPr>
        <w:ind w:left="1440" w:hanging="360"/>
      </w:pPr>
    </w:lvl>
    <w:lvl w:ilvl="2" w:tplc="747E8366">
      <w:start w:val="1"/>
      <w:numFmt w:val="bullet"/>
      <w:lvlText w:val="■"/>
      <w:lvlJc w:val="left"/>
      <w:pPr>
        <w:ind w:left="2160" w:hanging="360"/>
      </w:pPr>
    </w:lvl>
    <w:lvl w:ilvl="3" w:tplc="5E74DAF4">
      <w:start w:val="1"/>
      <w:numFmt w:val="bullet"/>
      <w:lvlText w:val="●"/>
      <w:lvlJc w:val="left"/>
      <w:pPr>
        <w:ind w:left="2880" w:hanging="360"/>
      </w:pPr>
    </w:lvl>
    <w:lvl w:ilvl="4" w:tplc="73F6486A">
      <w:start w:val="1"/>
      <w:numFmt w:val="bullet"/>
      <w:lvlText w:val="○"/>
      <w:lvlJc w:val="left"/>
      <w:pPr>
        <w:ind w:left="3600" w:hanging="360"/>
      </w:pPr>
    </w:lvl>
    <w:lvl w:ilvl="5" w:tplc="66542DA4">
      <w:start w:val="1"/>
      <w:numFmt w:val="bullet"/>
      <w:lvlText w:val="■"/>
      <w:lvlJc w:val="left"/>
      <w:pPr>
        <w:ind w:left="4320" w:hanging="360"/>
      </w:pPr>
    </w:lvl>
    <w:lvl w:ilvl="6" w:tplc="4A2CDBFA">
      <w:start w:val="1"/>
      <w:numFmt w:val="bullet"/>
      <w:lvlText w:val="●"/>
      <w:lvlJc w:val="left"/>
      <w:pPr>
        <w:ind w:left="5040" w:hanging="360"/>
      </w:pPr>
    </w:lvl>
    <w:lvl w:ilvl="7" w:tplc="A3080B88">
      <w:start w:val="1"/>
      <w:numFmt w:val="bullet"/>
      <w:lvlText w:val="●"/>
      <w:lvlJc w:val="left"/>
      <w:pPr>
        <w:ind w:left="5760" w:hanging="360"/>
      </w:pPr>
    </w:lvl>
    <w:lvl w:ilvl="8" w:tplc="DA3A9CCE">
      <w:start w:val="1"/>
      <w:numFmt w:val="bullet"/>
      <w:lvlText w:val="●"/>
      <w:lvlJc w:val="left"/>
      <w:pPr>
        <w:ind w:left="6480" w:hanging="360"/>
      </w:pPr>
    </w:lvl>
  </w:abstractNum>
  <w:abstractNum w:abstractNumId="1" w15:restartNumberingAfterBreak="0">
    <w:nsid w:val="69227937"/>
    <w:multiLevelType w:val="hybridMultilevel"/>
    <w:tmpl w:val="E564CB3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890382682">
    <w:abstractNumId w:val="0"/>
    <w:lvlOverride w:ilvl="0">
      <w:startOverride w:val="1"/>
    </w:lvlOverride>
  </w:num>
  <w:num w:numId="2" w16cid:durableId="952900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7EB"/>
    <w:rsid w:val="00406903"/>
    <w:rsid w:val="004777EB"/>
    <w:rsid w:val="0057559C"/>
    <w:rsid w:val="009C43B5"/>
    <w:rsid w:val="009E5B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72CE7"/>
  <w15:docId w15:val="{D8023049-3373-46B0-B6DA-769BD941F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20"/>
      <w:outlineLvl w:val="0"/>
    </w:pPr>
    <w:rPr>
      <w:b/>
      <w:bCs/>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E5B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31478/202403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1369</Words>
  <Characters>7806</Characters>
  <Application>Microsoft Office Word</Application>
  <DocSecurity>0</DocSecurity>
  <Lines>65</Lines>
  <Paragraphs>18</Paragraphs>
  <ScaleCrop>false</ScaleCrop>
  <Company/>
  <LinksUpToDate>false</LinksUpToDate>
  <CharactersWithSpaces>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Lakshay Madan Gopal</cp:lastModifiedBy>
  <cp:revision>4</cp:revision>
  <dcterms:created xsi:type="dcterms:W3CDTF">2026-06-25T22:40:00Z</dcterms:created>
  <dcterms:modified xsi:type="dcterms:W3CDTF">2026-06-25T22:42:00Z</dcterms:modified>
</cp:coreProperties>
</file>