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b w:val="1"/>
          <w:bCs w:val="1"/>
          <w:sz w:val="50"/>
          <w:szCs w:val="50"/>
        </w:rPr>
      </w:pPr>
      <w:bookmarkStart w:colFirst="0" w:colLast="0" w:name="_v1ciby4d6syg" w:id="0"/>
      <w:bookmarkEnd w:id="0"/>
      <w:r w:rsidDel="00000000" w:rsidR="00000000" w:rsidRPr="00000000">
        <w:rPr>
          <w:b w:val="1"/>
          <w:bCs w:val="1"/>
          <w:sz w:val="50"/>
          <w:szCs w:val="50"/>
          <w:rtl w:val="0"/>
        </w:rPr>
        <w:t xml:space="preserve">Project Overview </w:t>
      </w:r>
    </w:p>
    <w:p w:rsidR="00000000" w:rsidDel="00000000" w:rsidP="00000000" w:rsidRDefault="00000000" w:rsidRPr="00000000" w14:paraId="00000002">
      <w:pPr>
        <w:pStyle w:val="Heading1"/>
        <w:spacing w:after="240" w:before="240" w:lineRule="auto"/>
        <w:rPr>
          <w:sz w:val="28"/>
          <w:szCs w:val="28"/>
        </w:rPr>
      </w:pPr>
      <w:bookmarkStart w:colFirst="0" w:colLast="0" w:name="_ung7p06z1r9u" w:id="1"/>
      <w:bookmarkEnd w:id="1"/>
      <w:r w:rsidDel="00000000" w:rsidR="00000000" w:rsidRPr="00000000">
        <w:rPr>
          <w:sz w:val="28"/>
          <w:szCs w:val="28"/>
          <w:rtl w:val="0"/>
        </w:rPr>
        <w:t xml:space="preserve">This project analyzes the Superstore sales dataset to evaluate overall company performance, regional profitability, product-level margins, and customer revenue concentration. SQL was used for data cleaning, aggregation, window functions (YoY growth using LAG), contribution analysis, and profitability diagnostics to derive actionable business insights from transactional data.</w:t>
      </w:r>
    </w:p>
    <w:p w:rsidR="00000000" w:rsidDel="00000000" w:rsidP="00000000" w:rsidRDefault="00000000" w:rsidRPr="00000000" w14:paraId="00000003">
      <w:pPr>
        <w:pStyle w:val="Heading1"/>
        <w:rPr/>
      </w:pPr>
      <w:bookmarkStart w:colFirst="0" w:colLast="0" w:name="_2who9obddjvu"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spacing w:before="480" w:lineRule="auto"/>
        <w:rPr>
          <w:b w:val="1"/>
          <w:bCs w:val="1"/>
          <w:sz w:val="46"/>
          <w:szCs w:val="46"/>
        </w:rPr>
      </w:pPr>
      <w:bookmarkStart w:colFirst="0" w:colLast="0" w:name="_dy4xe9f3l7nx" w:id="3"/>
      <w:bookmarkEnd w:id="3"/>
      <w:r w:rsidDel="00000000" w:rsidR="00000000" w:rsidRPr="00000000">
        <w:rPr>
          <w:b w:val="1"/>
          <w:bCs w:val="1"/>
          <w:sz w:val="46"/>
          <w:szCs w:val="46"/>
          <w:rtl w:val="0"/>
        </w:rPr>
        <w:t xml:space="preserve">1. Overall Performance</w:t>
      </w:r>
    </w:p>
    <w:p w:rsidR="00000000" w:rsidDel="00000000" w:rsidP="00000000" w:rsidRDefault="00000000" w:rsidRPr="00000000" w14:paraId="00000005">
      <w:pPr>
        <w:pStyle w:val="Heading3"/>
        <w:spacing w:before="280" w:lineRule="auto"/>
        <w:rPr>
          <w:b w:val="1"/>
          <w:bCs w:val="1"/>
          <w:color w:val="000000"/>
        </w:rPr>
      </w:pPr>
      <w:bookmarkStart w:colFirst="0" w:colLast="0" w:name="_pm0h7n3lxqn0" w:id="4"/>
      <w:bookmarkEnd w:id="4"/>
      <w:r w:rsidDel="00000000" w:rsidR="00000000" w:rsidRPr="00000000">
        <w:rPr>
          <w:rFonts w:ascii="Andika" w:cs="Andika" w:eastAsia="Andika" w:hAnsi="Andika"/>
          <w:b w:val="1"/>
          <w:bCs w:val="1"/>
          <w:color w:val="000000"/>
          <w:rtl w:val="0"/>
        </w:rPr>
        <w:t xml:space="preserve">1️⃣ Sales Growth Trend Analysis</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The company experienced a slight decline in sales in 2015 (-3.42%), followed by a strong recovery in 2016 with 29.59% growth and continued expansion in 2017 at 20.54%. This pattern reflects a temporary slowdown followed by sustained growth momentum, indicating improved market performance and effective strategic adjustments post-2015.</w:t>
      </w:r>
    </w:p>
    <w:p w:rsidR="00000000" w:rsidDel="00000000" w:rsidP="00000000" w:rsidRDefault="00000000" w:rsidRPr="00000000" w14:paraId="00000007">
      <w:pPr>
        <w:pStyle w:val="Heading1"/>
        <w:rPr/>
      </w:pPr>
      <w:bookmarkStart w:colFirst="0" w:colLast="0" w:name="_gqlw2v5iwtrf"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spacing w:before="280" w:lineRule="auto"/>
        <w:rPr>
          <w:b w:val="1"/>
          <w:bCs w:val="1"/>
          <w:color w:val="000000"/>
        </w:rPr>
      </w:pPr>
      <w:bookmarkStart w:colFirst="0" w:colLast="0" w:name="_f63mzlgs8jx" w:id="6"/>
      <w:bookmarkEnd w:id="6"/>
      <w:r w:rsidDel="00000000" w:rsidR="00000000" w:rsidRPr="00000000">
        <w:rPr>
          <w:rFonts w:ascii="Andika" w:cs="Andika" w:eastAsia="Andika" w:hAnsi="Andika"/>
          <w:b w:val="1"/>
          <w:bCs w:val="1"/>
          <w:color w:val="000000"/>
          <w:rtl w:val="0"/>
        </w:rPr>
        <w:t xml:space="preserve">2️⃣ Consistent Profit Growth &amp; Efficiency Improvement</w:t>
      </w:r>
    </w:p>
    <w:p w:rsidR="00000000" w:rsidDel="00000000" w:rsidP="00000000" w:rsidRDefault="00000000" w:rsidRPr="00000000" w14:paraId="00000009">
      <w:pPr>
        <w:pStyle w:val="Heading1"/>
        <w:spacing w:after="240" w:before="240" w:lineRule="auto"/>
        <w:rPr>
          <w:sz w:val="28"/>
          <w:szCs w:val="28"/>
        </w:rPr>
      </w:pPr>
      <w:bookmarkStart w:colFirst="0" w:colLast="0" w:name="_1f90izga4l0y" w:id="7"/>
      <w:bookmarkEnd w:id="7"/>
      <w:r w:rsidDel="00000000" w:rsidR="00000000" w:rsidRPr="00000000">
        <w:rPr>
          <w:sz w:val="28"/>
          <w:szCs w:val="28"/>
          <w:rtl w:val="0"/>
        </w:rPr>
        <w:t xml:space="preserve">Despite the sales dip in 2015, total profit increased consistently from 2014 to 2017. This indicates improving operational efficiency and stronger margin management over time. The company demonstrated the ability to enhance profitability even during periods of temporary sales slowdown, reflecting strengthening financial performance.</w:t>
      </w:r>
    </w:p>
    <w:p w:rsidR="00000000" w:rsidDel="00000000" w:rsidP="00000000" w:rsidRDefault="00000000" w:rsidRPr="00000000" w14:paraId="0000000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n39wxi60urg3" w:id="8"/>
      <w:bookmarkEnd w:id="8"/>
      <w:r w:rsidDel="00000000" w:rsidR="00000000" w:rsidRPr="00000000">
        <w:rPr>
          <w:b w:val="1"/>
          <w:bCs w:val="1"/>
          <w:sz w:val="46"/>
          <w:szCs w:val="46"/>
          <w:rtl w:val="0"/>
        </w:rPr>
        <w:t xml:space="preserve">2. Regional Performance</w:t>
      </w:r>
    </w:p>
    <w:p w:rsidR="00000000" w:rsidDel="00000000" w:rsidP="00000000" w:rsidRDefault="00000000" w:rsidRPr="00000000" w14:paraId="0000000C">
      <w:pPr>
        <w:pStyle w:val="Heading3"/>
        <w:keepNext w:val="0"/>
        <w:keepLines w:val="0"/>
        <w:spacing w:before="280" w:lineRule="auto"/>
        <w:rPr>
          <w:b w:val="1"/>
          <w:bCs w:val="1"/>
          <w:color w:val="000000"/>
        </w:rPr>
      </w:pPr>
      <w:bookmarkStart w:colFirst="0" w:colLast="0" w:name="_ac43ua8u9e0q" w:id="9"/>
      <w:bookmarkEnd w:id="9"/>
      <w:r w:rsidDel="00000000" w:rsidR="00000000" w:rsidRPr="00000000">
        <w:rPr>
          <w:rFonts w:ascii="Andika" w:cs="Andika" w:eastAsia="Andika" w:hAnsi="Andika"/>
          <w:b w:val="1"/>
          <w:bCs w:val="1"/>
          <w:color w:val="000000"/>
          <w:rtl w:val="0"/>
        </w:rPr>
        <w:t xml:space="preserve">1️⃣ West Region – Primary Profit Driver</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The West region is the company’s strongest performing region, contributing </w:t>
      </w:r>
      <w:r w:rsidDel="00000000" w:rsidR="00000000" w:rsidRPr="00000000">
        <w:rPr>
          <w:b w:val="1"/>
          <w:bCs w:val="1"/>
          <w:sz w:val="28"/>
          <w:szCs w:val="28"/>
          <w:rtl w:val="0"/>
        </w:rPr>
        <w:t xml:space="preserve">37.56% of total profit</w:t>
      </w:r>
      <w:r w:rsidDel="00000000" w:rsidR="00000000" w:rsidRPr="00000000">
        <w:rPr>
          <w:sz w:val="28"/>
          <w:szCs w:val="28"/>
          <w:rtl w:val="0"/>
        </w:rPr>
        <w:t xml:space="preserve"> while maintaining the </w:t>
      </w:r>
      <w:r w:rsidDel="00000000" w:rsidR="00000000" w:rsidRPr="00000000">
        <w:rPr>
          <w:b w:val="1"/>
          <w:bCs w:val="1"/>
          <w:sz w:val="28"/>
          <w:szCs w:val="28"/>
          <w:rtl w:val="0"/>
        </w:rPr>
        <w:t xml:space="preserve">highest profit margin (14.90%)</w:t>
      </w:r>
      <w:r w:rsidDel="00000000" w:rsidR="00000000" w:rsidRPr="00000000">
        <w:rPr>
          <w:sz w:val="28"/>
          <w:szCs w:val="28"/>
          <w:rtl w:val="0"/>
        </w:rPr>
        <w:t xml:space="preserve">. This indicates strong revenue quality and operational efficiency. Further strategic investment in marketing and expansion in this region could potentially amplify overall company profitability.</w:t>
      </w:r>
    </w:p>
    <w:p w:rsidR="00000000" w:rsidDel="00000000" w:rsidP="00000000" w:rsidRDefault="00000000" w:rsidRPr="00000000" w14:paraId="0000000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rPr>
      </w:pPr>
      <w:bookmarkStart w:colFirst="0" w:colLast="0" w:name="_70jm5mhnzdu2" w:id="10"/>
      <w:bookmarkEnd w:id="10"/>
      <w:r w:rsidDel="00000000" w:rsidR="00000000" w:rsidRPr="00000000">
        <w:rPr>
          <w:rFonts w:ascii="Andika" w:cs="Andika" w:eastAsia="Andika" w:hAnsi="Andika"/>
          <w:b w:val="1"/>
          <w:bCs w:val="1"/>
          <w:color w:val="000000"/>
          <w:rtl w:val="0"/>
        </w:rPr>
        <w:t xml:space="preserve">2️⃣ East Region – Strong Secondary Contributor</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The East region contributes approximately </w:t>
      </w:r>
      <w:r w:rsidDel="00000000" w:rsidR="00000000" w:rsidRPr="00000000">
        <w:rPr>
          <w:b w:val="1"/>
          <w:bCs w:val="1"/>
          <w:sz w:val="28"/>
          <w:szCs w:val="28"/>
          <w:rtl w:val="0"/>
        </w:rPr>
        <w:t xml:space="preserve">32% of total company profit</w:t>
      </w:r>
      <w:r w:rsidDel="00000000" w:rsidR="00000000" w:rsidRPr="00000000">
        <w:rPr>
          <w:sz w:val="28"/>
          <w:szCs w:val="28"/>
          <w:rtl w:val="0"/>
        </w:rPr>
        <w:t xml:space="preserve">, closely following the West. This demonstrates a balanced regional profit structure and reduces over-dependence on a single market. The strong performance of both West and East regions ensures regional diversification and stability in profit generation.</w:t>
      </w:r>
    </w:p>
    <w:p w:rsidR="00000000" w:rsidDel="00000000" w:rsidP="00000000" w:rsidRDefault="00000000" w:rsidRPr="00000000" w14:paraId="00000011">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rPr>
      </w:pPr>
      <w:bookmarkStart w:colFirst="0" w:colLast="0" w:name="_68u93e48ja04" w:id="11"/>
      <w:bookmarkEnd w:id="11"/>
      <w:r w:rsidDel="00000000" w:rsidR="00000000" w:rsidRPr="00000000">
        <w:rPr>
          <w:rFonts w:ascii="Andika" w:cs="Andika" w:eastAsia="Andika" w:hAnsi="Andika"/>
          <w:b w:val="1"/>
          <w:bCs w:val="1"/>
          <w:color w:val="000000"/>
          <w:rtl w:val="0"/>
        </w:rPr>
        <w:t xml:space="preserve">3️⃣ Central Region – Underperforming Profitability</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The Central region records the lowest profit margin (</w:t>
      </w:r>
      <w:r w:rsidDel="00000000" w:rsidR="00000000" w:rsidRPr="00000000">
        <w:rPr>
          <w:b w:val="1"/>
          <w:bCs w:val="1"/>
          <w:sz w:val="28"/>
          <w:szCs w:val="28"/>
          <w:rtl w:val="0"/>
        </w:rPr>
        <w:t xml:space="preserve">7.99%</w:t>
      </w:r>
      <w:r w:rsidDel="00000000" w:rsidR="00000000" w:rsidRPr="00000000">
        <w:rPr>
          <w:sz w:val="28"/>
          <w:szCs w:val="28"/>
          <w:rtl w:val="0"/>
        </w:rPr>
        <w:t xml:space="preserve">) and contributes only </w:t>
      </w:r>
      <w:r w:rsidDel="00000000" w:rsidR="00000000" w:rsidRPr="00000000">
        <w:rPr>
          <w:b w:val="1"/>
          <w:bCs w:val="1"/>
          <w:sz w:val="28"/>
          <w:szCs w:val="28"/>
          <w:rtl w:val="0"/>
        </w:rPr>
        <w:t xml:space="preserve">14.05%</w:t>
      </w:r>
      <w:r w:rsidDel="00000000" w:rsidR="00000000" w:rsidRPr="00000000">
        <w:rPr>
          <w:sz w:val="28"/>
          <w:szCs w:val="28"/>
          <w:rtl w:val="0"/>
        </w:rPr>
        <w:t xml:space="preserve"> to total company profit, making it the weakest performing region. The relatively low margin suggests potential pricing pressure, higher discounting, or cost inefficiencies. This region may require strategic review to improve profitability and operational performance.</w:t>
      </w:r>
    </w:p>
    <w:p w:rsidR="00000000" w:rsidDel="00000000" w:rsidP="00000000" w:rsidRDefault="00000000" w:rsidRPr="00000000" w14:paraId="00000014">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784k5e6ht7e" w:id="12"/>
      <w:bookmarkEnd w:id="12"/>
      <w:r w:rsidDel="00000000" w:rsidR="00000000" w:rsidRPr="00000000">
        <w:rPr>
          <w:b w:val="1"/>
          <w:bCs w:val="1"/>
          <w:sz w:val="46"/>
          <w:szCs w:val="46"/>
          <w:rtl w:val="0"/>
        </w:rPr>
        <w:t xml:space="preserve">3. Product / Category Performance</w:t>
      </w:r>
    </w:p>
    <w:p w:rsidR="00000000" w:rsidDel="00000000" w:rsidP="00000000" w:rsidRDefault="00000000" w:rsidRPr="00000000" w14:paraId="00000016">
      <w:pPr>
        <w:pStyle w:val="Heading3"/>
        <w:keepNext w:val="0"/>
        <w:keepLines w:val="0"/>
        <w:spacing w:before="280" w:lineRule="auto"/>
        <w:rPr>
          <w:b w:val="1"/>
          <w:bCs w:val="1"/>
          <w:color w:val="000000"/>
        </w:rPr>
      </w:pPr>
      <w:bookmarkStart w:colFirst="0" w:colLast="0" w:name="_w5wezerb04v5" w:id="13"/>
      <w:bookmarkEnd w:id="13"/>
      <w:r w:rsidDel="00000000" w:rsidR="00000000" w:rsidRPr="00000000">
        <w:rPr>
          <w:rFonts w:ascii="Andika" w:cs="Andika" w:eastAsia="Andika" w:hAnsi="Andika"/>
          <w:b w:val="1"/>
          <w:bCs w:val="1"/>
          <w:color w:val="000000"/>
          <w:rtl w:val="0"/>
        </w:rPr>
        <w:t xml:space="preserve">1️⃣ Technology – Highest Profitability Category</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Technology is the strongest performing category, generating the highest total profit (145,389) and maintaining the highest profit margin (17.39%). The strong margin indicates premium pricing power and high revenue efficiency. This category serves as a major profitability driver for the company.</w:t>
      </w:r>
    </w:p>
    <w:p w:rsidR="00000000" w:rsidDel="00000000" w:rsidP="00000000" w:rsidRDefault="00000000" w:rsidRPr="00000000" w14:paraId="00000018">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rPr>
      </w:pPr>
      <w:bookmarkStart w:colFirst="0" w:colLast="0" w:name="_ohxikwhx6nw8" w:id="14"/>
      <w:bookmarkEnd w:id="14"/>
      <w:r w:rsidDel="00000000" w:rsidR="00000000" w:rsidRPr="00000000">
        <w:rPr>
          <w:rFonts w:ascii="Andika" w:cs="Andika" w:eastAsia="Andika" w:hAnsi="Andika"/>
          <w:b w:val="1"/>
          <w:bCs w:val="1"/>
          <w:color w:val="000000"/>
          <w:rtl w:val="0"/>
        </w:rPr>
        <w:t xml:space="preserve">2️⃣ Office Supplies – Stable and Consistent Contributor</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Office Supplies demonstrates solid performance with a strong profit margin (16.67%) and total profit of 120,632. While slightly behind Technology, it represents a stable and reliable revenue stream with healthy profitability.</w:t>
      </w:r>
    </w:p>
    <w:p w:rsidR="00000000" w:rsidDel="00000000" w:rsidP="00000000" w:rsidRDefault="00000000" w:rsidRPr="00000000" w14:paraId="0000001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rPr>
      </w:pPr>
      <w:bookmarkStart w:colFirst="0" w:colLast="0" w:name="_a0zikcntjfg0" w:id="15"/>
      <w:bookmarkEnd w:id="15"/>
      <w:r w:rsidDel="00000000" w:rsidR="00000000" w:rsidRPr="00000000">
        <w:rPr>
          <w:rFonts w:ascii="Andika" w:cs="Andika" w:eastAsia="Andika" w:hAnsi="Andika"/>
          <w:b w:val="1"/>
          <w:bCs w:val="1"/>
          <w:color w:val="000000"/>
          <w:rtl w:val="0"/>
        </w:rPr>
        <w:t xml:space="preserve">3️⃣ Furniture – High Sales, Low Profitability Concern</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Despite generating substantial sales (733,047), Furniture records a significantly low profit margin (2.69%) and comparatively low total profit (19,686). This suggests heavy discounting, higher costs, or pricing inefficiencies. The category requires strategic evaluation to improve margin performance and overall profitability.</w:t>
      </w:r>
    </w:p>
    <w:p w:rsidR="00000000" w:rsidDel="00000000" w:rsidP="00000000" w:rsidRDefault="00000000" w:rsidRPr="00000000" w14:paraId="0000001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8calxmpw6w4u" w:id="16"/>
      <w:bookmarkEnd w:id="16"/>
      <w:r w:rsidDel="00000000" w:rsidR="00000000" w:rsidRPr="00000000">
        <w:rPr>
          <w:b w:val="1"/>
          <w:bCs w:val="1"/>
          <w:sz w:val="46"/>
          <w:szCs w:val="46"/>
          <w:rtl w:val="0"/>
        </w:rPr>
        <w:t xml:space="preserve">4. Customer Analysis</w:t>
      </w:r>
    </w:p>
    <w:p w:rsidR="00000000" w:rsidDel="00000000" w:rsidP="00000000" w:rsidRDefault="00000000" w:rsidRPr="00000000" w14:paraId="00000020">
      <w:pPr>
        <w:pStyle w:val="Heading3"/>
        <w:keepNext w:val="0"/>
        <w:keepLines w:val="0"/>
        <w:spacing w:before="280" w:lineRule="auto"/>
        <w:rPr>
          <w:b w:val="1"/>
          <w:bCs w:val="1"/>
          <w:color w:val="000000"/>
        </w:rPr>
      </w:pPr>
      <w:bookmarkStart w:colFirst="0" w:colLast="0" w:name="_a44o7g2p30jn" w:id="17"/>
      <w:bookmarkEnd w:id="17"/>
      <w:r w:rsidDel="00000000" w:rsidR="00000000" w:rsidRPr="00000000">
        <w:rPr>
          <w:rFonts w:ascii="Andika" w:cs="Andika" w:eastAsia="Andika" w:hAnsi="Andika"/>
          <w:b w:val="1"/>
          <w:bCs w:val="1"/>
          <w:color w:val="000000"/>
          <w:rtl w:val="0"/>
        </w:rPr>
        <w:t xml:space="preserve">1️⃣ Low Revenue Concentration – Diversified Customer Base</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The Top 10 customers collectively contribute approximately 6–7% of total sales, with individual contributions ranging between 0.5% and 1.1%. This indicates a highly diversified revenue structure, reducing business risk associated with over-dependence on a few large customers.</w:t>
      </w:r>
    </w:p>
    <w:p w:rsidR="00000000" w:rsidDel="00000000" w:rsidP="00000000" w:rsidRDefault="00000000" w:rsidRPr="00000000" w14:paraId="0000002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rPr>
      </w:pPr>
      <w:bookmarkStart w:colFirst="0" w:colLast="0" w:name="_xfw3nsl4a7la" w:id="18"/>
      <w:bookmarkEnd w:id="18"/>
      <w:r w:rsidDel="00000000" w:rsidR="00000000" w:rsidRPr="00000000">
        <w:rPr>
          <w:rFonts w:ascii="Andika" w:cs="Andika" w:eastAsia="Andika" w:hAnsi="Andika"/>
          <w:b w:val="1"/>
          <w:bCs w:val="1"/>
          <w:color w:val="000000"/>
          <w:rtl w:val="0"/>
        </w:rPr>
        <w:t xml:space="preserve">2️⃣ Profitability Variability Among Top Customers</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While several top customers maintain strong profit margins (above 30–40%), the highest revenue-generating customer records a negative profit margin (-7.91%). This highlights inconsistent customer-level profitability and suggests potential issues such as aggressive discounting or high servicing costs for certain key accounts.</w:t>
      </w:r>
    </w:p>
    <w:p w:rsidR="00000000" w:rsidDel="00000000" w:rsidP="00000000" w:rsidRDefault="00000000" w:rsidRPr="00000000" w14:paraId="00000025">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bdam572nz00r" w:id="19"/>
      <w:bookmarkEnd w:id="19"/>
      <w:r w:rsidDel="00000000" w:rsidR="00000000" w:rsidRPr="00000000">
        <w:rPr>
          <w:b w:val="1"/>
          <w:bCs w:val="1"/>
          <w:sz w:val="46"/>
          <w:szCs w:val="46"/>
          <w:rtl w:val="0"/>
        </w:rPr>
        <w:t xml:space="preserve">5. Strategic Recommendations</w:t>
      </w:r>
    </w:p>
    <w:p w:rsidR="00000000" w:rsidDel="00000000" w:rsidP="00000000" w:rsidRDefault="00000000" w:rsidRPr="00000000" w14:paraId="00000027">
      <w:pPr>
        <w:pStyle w:val="Heading3"/>
        <w:keepNext w:val="0"/>
        <w:keepLines w:val="0"/>
        <w:spacing w:before="280" w:lineRule="auto"/>
        <w:rPr>
          <w:b w:val="1"/>
          <w:bCs w:val="1"/>
          <w:color w:val="000000"/>
        </w:rPr>
      </w:pPr>
      <w:bookmarkStart w:colFirst="0" w:colLast="0" w:name="_cdl2xhdd68y8" w:id="20"/>
      <w:bookmarkEnd w:id="20"/>
      <w:r w:rsidDel="00000000" w:rsidR="00000000" w:rsidRPr="00000000">
        <w:rPr>
          <w:rFonts w:ascii="Andika" w:cs="Andika" w:eastAsia="Andika" w:hAnsi="Andika"/>
          <w:b w:val="1"/>
          <w:bCs w:val="1"/>
          <w:color w:val="000000"/>
          <w:rtl w:val="0"/>
        </w:rPr>
        <w:t xml:space="preserve">1️⃣ Expand Investment in High-Performing Regions</w:t>
      </w:r>
    </w:p>
    <w:p w:rsidR="00000000" w:rsidDel="00000000" w:rsidP="00000000" w:rsidRDefault="00000000" w:rsidRPr="00000000" w14:paraId="00000028">
      <w:pPr>
        <w:pStyle w:val="Heading3"/>
        <w:keepNext w:val="0"/>
        <w:keepLines w:val="0"/>
        <w:spacing w:before="280" w:lineRule="auto"/>
        <w:rPr>
          <w:sz w:val="28"/>
          <w:szCs w:val="28"/>
        </w:rPr>
      </w:pPr>
      <w:bookmarkStart w:colFirst="0" w:colLast="0" w:name="_iqote847zxmh" w:id="21"/>
      <w:bookmarkEnd w:id="21"/>
      <w:r w:rsidDel="00000000" w:rsidR="00000000" w:rsidRPr="00000000">
        <w:rPr>
          <w:sz w:val="28"/>
          <w:szCs w:val="28"/>
          <w:rtl w:val="0"/>
        </w:rPr>
        <w:t xml:space="preserve">Given that the West and East regions together contribute nearly 70% of total profit with strong margins, strategic expansion in these regions (marketing, distribution, customer acquisition) could further enhance overall profitability while maintaining regional balance.</w:t>
      </w:r>
    </w:p>
    <w:p w:rsidR="00000000" w:rsidDel="00000000" w:rsidP="00000000" w:rsidRDefault="00000000" w:rsidRPr="00000000" w14:paraId="00000029">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rPr>
      </w:pPr>
      <w:bookmarkStart w:colFirst="0" w:colLast="0" w:name="_6j39l12606kp" w:id="22"/>
      <w:bookmarkEnd w:id="22"/>
      <w:r w:rsidDel="00000000" w:rsidR="00000000" w:rsidRPr="00000000">
        <w:rPr>
          <w:rFonts w:ascii="Andika" w:cs="Andika" w:eastAsia="Andika" w:hAnsi="Andika"/>
          <w:b w:val="1"/>
          <w:bCs w:val="1"/>
          <w:color w:val="000000"/>
          <w:rtl w:val="0"/>
        </w:rPr>
        <w:t xml:space="preserve">2️⃣ Improve Profitability in the Central Region</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The Central region’s low margin (7.99%) and limited profit contribution suggest operational inefficiencies or pricing challenges. A review of discount strategies, supply chain costs, and product mix in this region may help improve margin performance.</w:t>
      </w:r>
    </w:p>
    <w:p w:rsidR="00000000" w:rsidDel="00000000" w:rsidP="00000000" w:rsidRDefault="00000000" w:rsidRPr="00000000" w14:paraId="0000002C">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rPr>
      </w:pPr>
      <w:bookmarkStart w:colFirst="0" w:colLast="0" w:name="_x6xx1fs7d7v6" w:id="23"/>
      <w:bookmarkEnd w:id="23"/>
      <w:r w:rsidDel="00000000" w:rsidR="00000000" w:rsidRPr="00000000">
        <w:rPr>
          <w:rFonts w:ascii="Andika" w:cs="Andika" w:eastAsia="Andika" w:hAnsi="Andika"/>
          <w:b w:val="1"/>
          <w:bCs w:val="1"/>
          <w:color w:val="000000"/>
          <w:rtl w:val="0"/>
        </w:rPr>
        <w:t xml:space="preserve">3️⃣ Optimize Furniture Category Margins</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Despite strong sales volume, the Furniture category generates significantly low margins (2.69%). The company should reassess pricing models, discount structures, and cost controls within this category to improve profitability without sacrificing revenue.</w:t>
      </w:r>
    </w:p>
    <w:p w:rsidR="00000000" w:rsidDel="00000000" w:rsidP="00000000" w:rsidRDefault="00000000" w:rsidRPr="00000000" w14:paraId="0000002F">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rPr>
      </w:pPr>
      <w:bookmarkStart w:colFirst="0" w:colLast="0" w:name="_lxu78mxs3i98" w:id="24"/>
      <w:bookmarkEnd w:id="24"/>
      <w:r w:rsidDel="00000000" w:rsidR="00000000" w:rsidRPr="00000000">
        <w:rPr>
          <w:rFonts w:ascii="Andika" w:cs="Andika" w:eastAsia="Andika" w:hAnsi="Andika"/>
          <w:b w:val="1"/>
          <w:bCs w:val="1"/>
          <w:color w:val="000000"/>
          <w:rtl w:val="0"/>
        </w:rPr>
        <w:t xml:space="preserve">4️⃣ Monitor Customer-Level Profitability</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While revenue is well diversified across customers, profitability varies significantly among top accounts. High-revenue customers with negative or weak margins should be evaluated to ensure sustainable long-term value creation.</w:t>
      </w:r>
    </w:p>
    <w:p w:rsidR="00000000" w:rsidDel="00000000" w:rsidP="00000000" w:rsidRDefault="00000000" w:rsidRPr="00000000" w14:paraId="00000032">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pPr>
      <w:bookmarkStart w:colFirst="0" w:colLast="0" w:name="_d54m1kw97d8q" w:id="25"/>
      <w:bookmarkEnd w:id="25"/>
      <w:r w:rsidDel="00000000" w:rsidR="00000000" w:rsidRPr="00000000">
        <w:rPr>
          <w:b w:val="1"/>
          <w:bCs w:val="1"/>
          <w:sz w:val="46"/>
          <w:szCs w:val="46"/>
          <w:rtl w:val="0"/>
        </w:rPr>
        <w:t xml:space="preserve">6. Technical Skills Demonstrated</w:t>
      </w:r>
      <w:r w:rsidDel="00000000" w:rsidR="00000000" w:rsidRPr="00000000">
        <w:rPr>
          <w:rtl w:val="0"/>
        </w:rPr>
      </w:r>
    </w:p>
    <w:p w:rsidR="00000000" w:rsidDel="00000000" w:rsidP="00000000" w:rsidRDefault="00000000" w:rsidRPr="00000000" w14:paraId="00000034">
      <w:pPr>
        <w:numPr>
          <w:ilvl w:val="0"/>
          <w:numId w:val="1"/>
        </w:numPr>
        <w:spacing w:after="0" w:afterAutospacing="0" w:before="240" w:lineRule="auto"/>
        <w:ind w:left="720" w:hanging="360"/>
        <w:rPr>
          <w:sz w:val="28"/>
          <w:szCs w:val="28"/>
          <w:u w:val="none"/>
        </w:rPr>
      </w:pPr>
      <w:r w:rsidDel="00000000" w:rsidR="00000000" w:rsidRPr="00000000">
        <w:rPr>
          <w:sz w:val="28"/>
          <w:szCs w:val="28"/>
          <w:rtl w:val="0"/>
        </w:rPr>
        <w:t xml:space="preserve">Data Cleaning &amp; Schema Structuring</w:t>
        <w:br w:type="textWrapping"/>
      </w:r>
    </w:p>
    <w:p w:rsidR="00000000" w:rsidDel="00000000" w:rsidP="00000000" w:rsidRDefault="00000000" w:rsidRPr="00000000" w14:paraId="00000035">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Aggregations &amp; Group By Analysis</w:t>
        <w:br w:type="textWrapping"/>
      </w:r>
    </w:p>
    <w:p w:rsidR="00000000" w:rsidDel="00000000" w:rsidP="00000000" w:rsidRDefault="00000000" w:rsidRPr="00000000" w14:paraId="00000036">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Window Functions (LAG for Year-over-Year Growth)</w:t>
        <w:br w:type="textWrapping"/>
      </w:r>
    </w:p>
    <w:p w:rsidR="00000000" w:rsidDel="00000000" w:rsidP="00000000" w:rsidRDefault="00000000" w:rsidRPr="00000000" w14:paraId="00000037">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Contribution % Calculations</w:t>
        <w:br w:type="textWrapping"/>
      </w:r>
    </w:p>
    <w:p w:rsidR="00000000" w:rsidDel="00000000" w:rsidP="00000000" w:rsidRDefault="00000000" w:rsidRPr="00000000" w14:paraId="00000038">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Profit Margin Analysis</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sz w:val="28"/>
          <w:szCs w:val="28"/>
          <w:u w:val="none"/>
        </w:rPr>
      </w:pPr>
      <w:r w:rsidDel="00000000" w:rsidR="00000000" w:rsidRPr="00000000">
        <w:rPr>
          <w:sz w:val="28"/>
          <w:szCs w:val="28"/>
          <w:rtl w:val="0"/>
        </w:rPr>
        <w:t xml:space="preserve">Ranking &amp; Top-N Analysis</w:t>
        <w:br w:type="textWrapping"/>
      </w:r>
    </w:p>
    <w:p w:rsidR="00000000" w:rsidDel="00000000" w:rsidP="00000000" w:rsidRDefault="00000000" w:rsidRPr="00000000" w14:paraId="0000003A">
      <w:pPr>
        <w:numPr>
          <w:ilvl w:val="0"/>
          <w:numId w:val="1"/>
        </w:numPr>
        <w:spacing w:after="240" w:before="0" w:beforeAutospacing="0" w:lineRule="auto"/>
        <w:ind w:left="720" w:hanging="360"/>
        <w:rPr>
          <w:sz w:val="28"/>
          <w:szCs w:val="28"/>
          <w:u w:val="none"/>
        </w:rPr>
      </w:pPr>
      <w:r w:rsidDel="00000000" w:rsidR="00000000" w:rsidRPr="00000000">
        <w:rPr>
          <w:sz w:val="28"/>
          <w:szCs w:val="28"/>
          <w:rtl w:val="0"/>
        </w:rPr>
        <w:t xml:space="preserve">Customer-Level Profitability Evaluation</w:t>
      </w:r>
    </w:p>
    <w:p w:rsidR="00000000" w:rsidDel="00000000" w:rsidP="00000000" w:rsidRDefault="00000000" w:rsidRPr="00000000" w14:paraId="0000003B">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spacing w:after="240" w:before="240" w:lineRule="auto"/>
        <w:rPr>
          <w:b w:val="1"/>
          <w:bCs w:val="1"/>
          <w:sz w:val="46"/>
          <w:szCs w:val="46"/>
        </w:rPr>
      </w:pPr>
      <w:r w:rsidDel="00000000" w:rsidR="00000000" w:rsidRPr="00000000">
        <w:rPr>
          <w:b w:val="1"/>
          <w:bCs w:val="1"/>
          <w:sz w:val="46"/>
          <w:szCs w:val="46"/>
          <w:rtl w:val="0"/>
        </w:rPr>
        <w:t xml:space="preserve">7.  Conclusion</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The analysis highlights strong regional and category-level profit drivers while identifying margin inefficiencies in specific segments, providing a clear roadmap for data-driven strategic decision-making.</w:t>
      </w:r>
    </w:p>
    <w:p w:rsidR="00000000" w:rsidDel="00000000" w:rsidP="00000000" w:rsidRDefault="00000000" w:rsidRPr="00000000" w14:paraId="0000003E">
      <w:pPr>
        <w:spacing w:after="240" w:befor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